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2F91" w:rsidRDefault="00A62F9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tbl>
      <w:tblPr>
        <w:tblW w:w="9914" w:type="dxa"/>
        <w:tblLayout w:type="fixed"/>
        <w:tblLook w:val="0000" w:firstRow="0" w:lastRow="0" w:firstColumn="0" w:lastColumn="0" w:noHBand="0" w:noVBand="0"/>
      </w:tblPr>
      <w:tblGrid>
        <w:gridCol w:w="4928"/>
        <w:gridCol w:w="4986"/>
      </w:tblGrid>
      <w:tr w:rsidR="00893906" w:rsidRPr="00893906" w:rsidTr="0021636B">
        <w:trPr>
          <w:cantSplit/>
          <w:trHeight w:val="2638"/>
        </w:trPr>
        <w:tc>
          <w:tcPr>
            <w:tcW w:w="4928" w:type="dxa"/>
            <w:tcBorders>
              <w:right w:val="single" w:sz="4" w:space="0" w:color="808080"/>
            </w:tcBorders>
          </w:tcPr>
          <w:p w:rsidR="00893906" w:rsidRPr="00893906" w:rsidRDefault="00893906" w:rsidP="00893906">
            <w:pPr>
              <w:spacing w:after="0" w:line="240" w:lineRule="auto"/>
              <w:ind w:left="-1418" w:right="140"/>
              <w:outlineLvl w:val="4"/>
              <w:rPr>
                <w:rFonts w:ascii="Trebuchet MS" w:eastAsia="Times New Roman" w:hAnsi="Trebuchet MS" w:cs="Times New Roman"/>
                <w:b/>
                <w:bCs/>
                <w:i/>
                <w:iCs/>
                <w:sz w:val="16"/>
                <w:szCs w:val="18"/>
                <w:lang w:val="en-GB"/>
              </w:rPr>
            </w:pPr>
            <w:r w:rsidRPr="00893906">
              <w:rPr>
                <w:rFonts w:ascii="Trebuchet MS" w:eastAsia="Times New Roman" w:hAnsi="Trebuchet MS" w:cs="Times New Roman"/>
                <w:b/>
                <w:bCs/>
                <w:i/>
                <w:iCs/>
                <w:color w:val="000000"/>
                <w:sz w:val="32"/>
                <w:szCs w:val="36"/>
              </w:rPr>
              <w:tab/>
            </w:r>
            <w:r w:rsidRPr="00893906">
              <w:rPr>
                <w:rFonts w:ascii="Trebuchet MS" w:eastAsia="Times New Roman" w:hAnsi="Trebuchet MS" w:cs="Times New Roman"/>
                <w:b/>
                <w:bCs/>
                <w:i/>
                <w:iCs/>
                <w:color w:val="000000"/>
                <w:sz w:val="32"/>
                <w:szCs w:val="36"/>
              </w:rPr>
              <w:tab/>
            </w:r>
          </w:p>
          <w:p w:rsidR="00893906" w:rsidRPr="00893906" w:rsidRDefault="00893906" w:rsidP="00893906">
            <w:pPr>
              <w:spacing w:after="0" w:line="240" w:lineRule="auto"/>
              <w:outlineLvl w:val="4"/>
              <w:rPr>
                <w:rFonts w:ascii="Trebuchet MS" w:eastAsia="Times New Roman" w:hAnsi="Trebuchet MS" w:cs="Times New Roman"/>
                <w:bCs/>
                <w:i/>
                <w:iCs/>
                <w:color w:val="000000"/>
                <w:sz w:val="36"/>
                <w:szCs w:val="36"/>
              </w:rPr>
            </w:pPr>
            <w:r w:rsidRPr="00893906"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sz w:val="26"/>
                <w:szCs w:val="26"/>
                <w:lang w:eastAsia="hr-HR"/>
              </w:rPr>
              <w:drawing>
                <wp:inline distT="0" distB="0" distL="0" distR="0" wp14:anchorId="1E5D028A" wp14:editId="71371769">
                  <wp:extent cx="2363470" cy="569595"/>
                  <wp:effectExtent l="0" t="0" r="0" b="1905"/>
                  <wp:docPr id="37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33" t="65027" r="49489" b="20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47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3906" w:rsidRPr="00893906" w:rsidRDefault="00893906" w:rsidP="00893906">
            <w:pPr>
              <w:spacing w:after="0" w:line="240" w:lineRule="auto"/>
              <w:rPr>
                <w:rFonts w:ascii="Arial" w:eastAsia="Times New Roman" w:hAnsi="Arial" w:cs="Arial"/>
                <w:noProof/>
                <w:sz w:val="16"/>
                <w:szCs w:val="16"/>
                <w:lang w:val="en-US"/>
              </w:rPr>
            </w:pPr>
            <w:r w:rsidRPr="00893906">
              <w:rPr>
                <w:rFonts w:ascii="Arial" w:eastAsia="Times New Roman" w:hAnsi="Arial" w:cs="Arial"/>
                <w:noProof/>
                <w:sz w:val="16"/>
                <w:szCs w:val="16"/>
                <w:lang w:val="en-GB"/>
              </w:rPr>
              <w:t>Andrije Kačića Miošića 5B, 43000 Bjelovar</w:t>
            </w:r>
          </w:p>
          <w:p w:rsidR="00893906" w:rsidRPr="00893906" w:rsidRDefault="00893906" w:rsidP="00893906">
            <w:pPr>
              <w:spacing w:after="0" w:line="240" w:lineRule="auto"/>
              <w:rPr>
                <w:rFonts w:ascii="Arial" w:eastAsia="Times New Roman" w:hAnsi="Arial" w:cs="Arial"/>
                <w:noProof/>
                <w:sz w:val="16"/>
                <w:szCs w:val="16"/>
                <w:lang w:val="en-US"/>
              </w:rPr>
            </w:pPr>
            <w:r w:rsidRPr="00893906">
              <w:rPr>
                <w:rFonts w:ascii="Arial" w:eastAsia="Times New Roman" w:hAnsi="Arial" w:cs="Arial"/>
                <w:noProof/>
                <w:sz w:val="16"/>
                <w:szCs w:val="16"/>
                <w:lang w:val="en-US"/>
              </w:rPr>
              <w:t xml:space="preserve">T +385(0)43 212 405   M +385(0)91 531 5592   </w:t>
            </w:r>
          </w:p>
          <w:p w:rsidR="00893906" w:rsidRPr="00893906" w:rsidRDefault="00893906" w:rsidP="00893906">
            <w:pPr>
              <w:spacing w:after="0" w:line="240" w:lineRule="auto"/>
              <w:rPr>
                <w:rFonts w:ascii="Arial" w:eastAsia="Times New Roman" w:hAnsi="Arial" w:cs="Arial"/>
                <w:noProof/>
                <w:sz w:val="16"/>
                <w:szCs w:val="16"/>
                <w:lang w:val="en-US"/>
              </w:rPr>
            </w:pPr>
            <w:r w:rsidRPr="00893906">
              <w:rPr>
                <w:rFonts w:ascii="Arial" w:eastAsia="Times New Roman" w:hAnsi="Arial" w:cs="Arial"/>
                <w:noProof/>
                <w:sz w:val="16"/>
                <w:szCs w:val="16"/>
                <w:lang w:val="en-US"/>
              </w:rPr>
              <w:t xml:space="preserve">E-MAIL </w:t>
            </w:r>
            <w:hyperlink r:id="rId8" w:history="1">
              <w:r w:rsidRPr="00893906">
                <w:rPr>
                  <w:rFonts w:ascii="Arial" w:eastAsia="Times New Roman" w:hAnsi="Arial" w:cs="Arial"/>
                  <w:noProof/>
                  <w:color w:val="0000FF"/>
                  <w:sz w:val="20"/>
                  <w:szCs w:val="20"/>
                  <w:u w:val="single"/>
                  <w:lang w:val="en-US"/>
                </w:rPr>
                <w:t>mplan.bj@gmail.com</w:t>
              </w:r>
            </w:hyperlink>
            <w:r w:rsidRPr="00893906">
              <w:rPr>
                <w:rFonts w:ascii="Arial" w:eastAsia="Times New Roman" w:hAnsi="Arial" w:cs="Arial"/>
                <w:noProof/>
                <w:sz w:val="16"/>
                <w:szCs w:val="16"/>
                <w:lang w:val="en-US"/>
              </w:rPr>
              <w:t xml:space="preserve"> , ww.mplan.hr</w:t>
            </w:r>
          </w:p>
          <w:p w:rsidR="00893906" w:rsidRPr="00893906" w:rsidRDefault="00893906" w:rsidP="00893906">
            <w:pPr>
              <w:spacing w:after="0" w:line="240" w:lineRule="auto"/>
              <w:rPr>
                <w:rFonts w:ascii="Arial" w:eastAsia="Times New Roman" w:hAnsi="Arial" w:cs="Arial"/>
                <w:noProof/>
                <w:sz w:val="14"/>
                <w:szCs w:val="16"/>
                <w:lang w:val="en-US"/>
              </w:rPr>
            </w:pPr>
            <w:r w:rsidRPr="00893906">
              <w:rPr>
                <w:rFonts w:ascii="Arial" w:eastAsia="Times New Roman" w:hAnsi="Arial" w:cs="Arial"/>
                <w:sz w:val="16"/>
                <w:szCs w:val="18"/>
                <w:lang w:val="en-US" w:eastAsia="hr-HR"/>
              </w:rPr>
              <w:t>OIB: 96153048099</w:t>
            </w:r>
          </w:p>
          <w:p w:rsidR="00893906" w:rsidRPr="00893906" w:rsidRDefault="00893906" w:rsidP="00893906">
            <w:pPr>
              <w:spacing w:after="0" w:line="220" w:lineRule="atLeast"/>
              <w:ind w:right="140"/>
              <w:rPr>
                <w:rFonts w:ascii="Trebuchet MS" w:eastAsia="Times New Roman" w:hAnsi="Trebuchet MS" w:cs="Times New Roman"/>
                <w:sz w:val="16"/>
                <w:szCs w:val="18"/>
                <w:lang w:val="en-GB" w:eastAsia="hr-HR"/>
              </w:rPr>
            </w:pPr>
          </w:p>
        </w:tc>
        <w:tc>
          <w:tcPr>
            <w:tcW w:w="4986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893906" w:rsidRPr="00893906" w:rsidRDefault="00893906" w:rsidP="00893906">
            <w:pPr>
              <w:tabs>
                <w:tab w:val="left" w:pos="3686"/>
              </w:tabs>
              <w:spacing w:before="4900" w:after="20" w:line="240" w:lineRule="auto"/>
              <w:ind w:right="140"/>
              <w:jc w:val="center"/>
              <w:rPr>
                <w:rFonts w:ascii="Trebuchet MS" w:eastAsia="Times New Roman" w:hAnsi="Trebuchet MS" w:cs="Times New Roman"/>
                <w:b/>
                <w:color w:val="969696"/>
                <w:sz w:val="10"/>
                <w:szCs w:val="12"/>
              </w:rPr>
            </w:pPr>
            <w:r w:rsidRPr="00893906">
              <w:rPr>
                <w:rFonts w:ascii="Trebuchet MS" w:eastAsia="Times New Roman" w:hAnsi="Trebuchet MS" w:cs="Times New Roman"/>
                <w:b/>
                <w:color w:val="969696"/>
                <w:sz w:val="10"/>
                <w:szCs w:val="12"/>
              </w:rPr>
              <w:t>PROSTOR ZA OVJERU TJELA NADLEŽNOG ZA IZDAVANJEDOZVOLE</w:t>
            </w:r>
          </w:p>
        </w:tc>
      </w:tr>
      <w:tr w:rsidR="00893906" w:rsidRPr="00893906" w:rsidTr="0021636B">
        <w:trPr>
          <w:cantSplit/>
          <w:trHeight w:val="2577"/>
        </w:trPr>
        <w:tc>
          <w:tcPr>
            <w:tcW w:w="4928" w:type="dxa"/>
            <w:tcBorders>
              <w:right w:val="single" w:sz="4" w:space="0" w:color="808080"/>
            </w:tcBorders>
          </w:tcPr>
          <w:p w:rsidR="00893906" w:rsidRPr="00893906" w:rsidRDefault="00893906" w:rsidP="00893906">
            <w:pPr>
              <w:tabs>
                <w:tab w:val="left" w:pos="3686"/>
              </w:tabs>
              <w:spacing w:before="40" w:after="40" w:line="240" w:lineRule="auto"/>
              <w:ind w:right="140"/>
              <w:rPr>
                <w:rFonts w:ascii="Arial" w:eastAsia="Times New Roman" w:hAnsi="Arial" w:cs="Arial"/>
                <w:sz w:val="20"/>
              </w:rPr>
            </w:pPr>
          </w:p>
          <w:p w:rsidR="00893906" w:rsidRPr="00893906" w:rsidRDefault="00893906" w:rsidP="00893906">
            <w:pPr>
              <w:tabs>
                <w:tab w:val="left" w:pos="3686"/>
              </w:tabs>
              <w:spacing w:before="40" w:after="40"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93906">
              <w:rPr>
                <w:rFonts w:ascii="Arial" w:eastAsia="Times New Roman" w:hAnsi="Arial" w:cs="Arial"/>
                <w:b/>
                <w:sz w:val="24"/>
                <w:szCs w:val="24"/>
              </w:rPr>
              <w:t>INVESTITOR:</w:t>
            </w:r>
          </w:p>
          <w:p w:rsidR="00893906" w:rsidRPr="00893906" w:rsidRDefault="00893906" w:rsidP="00893906">
            <w:pPr>
              <w:tabs>
                <w:tab w:val="left" w:pos="3686"/>
              </w:tabs>
              <w:spacing w:before="40" w:after="40" w:line="240" w:lineRule="auto"/>
              <w:ind w:right="140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93906">
              <w:rPr>
                <w:rFonts w:ascii="Arial" w:eastAsia="Calibri" w:hAnsi="Arial" w:cs="Arial"/>
                <w:b/>
                <w:bCs/>
                <w:color w:val="000000"/>
              </w:rPr>
              <w:t>Općina Šandrovac, Bjelovarska 6, 43227 Šandrovac</w:t>
            </w:r>
          </w:p>
          <w:p w:rsidR="00893906" w:rsidRPr="00893906" w:rsidRDefault="00893906" w:rsidP="00893906">
            <w:pPr>
              <w:tabs>
                <w:tab w:val="left" w:pos="3686"/>
              </w:tabs>
              <w:spacing w:before="40" w:after="40" w:line="240" w:lineRule="auto"/>
              <w:ind w:right="140"/>
              <w:rPr>
                <w:rFonts w:ascii="Arial" w:eastAsia="Calibri" w:hAnsi="Arial" w:cs="Arial"/>
                <w:b/>
                <w:bCs/>
                <w:color w:val="000000"/>
              </w:rPr>
            </w:pPr>
            <w:r w:rsidRPr="00893906">
              <w:rPr>
                <w:rFonts w:ascii="Arial" w:eastAsia="Calibri" w:hAnsi="Arial" w:cs="Arial"/>
                <w:b/>
                <w:bCs/>
                <w:color w:val="000000"/>
                <w:lang w:val="en-US"/>
              </w:rPr>
              <w:t xml:space="preserve">OIB: </w:t>
            </w:r>
            <w:r w:rsidRPr="00893906">
              <w:rPr>
                <w:rFonts w:ascii="Arial" w:eastAsia="Times New Roman" w:hAnsi="Arial" w:cs="Arial"/>
                <w:b/>
              </w:rPr>
              <w:t>35024150994</w:t>
            </w:r>
          </w:p>
        </w:tc>
        <w:tc>
          <w:tcPr>
            <w:tcW w:w="4986" w:type="dxa"/>
            <w:vMerge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893906" w:rsidRPr="00893906" w:rsidRDefault="00893906" w:rsidP="00893906">
            <w:pPr>
              <w:tabs>
                <w:tab w:val="left" w:pos="3686"/>
              </w:tabs>
              <w:spacing w:before="40" w:after="40" w:line="240" w:lineRule="auto"/>
              <w:ind w:right="140"/>
              <w:rPr>
                <w:rFonts w:ascii="Arial" w:eastAsia="Times New Roman" w:hAnsi="Arial" w:cs="Arial"/>
                <w:b/>
                <w:szCs w:val="20"/>
              </w:rPr>
            </w:pPr>
          </w:p>
        </w:tc>
      </w:tr>
    </w:tbl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6"/>
        <w:gridCol w:w="5947"/>
      </w:tblGrid>
      <w:tr w:rsidR="00893906" w:rsidRPr="00893906" w:rsidTr="00893906">
        <w:trPr>
          <w:trHeight w:val="948"/>
        </w:trPr>
        <w:tc>
          <w:tcPr>
            <w:tcW w:w="3796" w:type="dxa"/>
          </w:tcPr>
          <w:p w:rsidR="00893906" w:rsidRPr="00893906" w:rsidRDefault="00893906" w:rsidP="00893906">
            <w:pPr>
              <w:spacing w:before="40" w:after="40"/>
              <w:ind w:right="140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93906">
              <w:rPr>
                <w:rFonts w:ascii="Arial" w:eastAsia="Times New Roman" w:hAnsi="Arial" w:cs="Arial"/>
                <w:b/>
                <w:sz w:val="24"/>
                <w:szCs w:val="24"/>
              </w:rPr>
              <w:t>GRAĐEVINA:</w:t>
            </w:r>
          </w:p>
        </w:tc>
        <w:tc>
          <w:tcPr>
            <w:tcW w:w="5947" w:type="dxa"/>
          </w:tcPr>
          <w:p w:rsidR="00893906" w:rsidRPr="00893906" w:rsidRDefault="00893906" w:rsidP="00893906">
            <w:pPr>
              <w:spacing w:before="40"/>
              <w:ind w:right="140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hr-HR"/>
              </w:rPr>
            </w:pPr>
            <w:r w:rsidRPr="00893906">
              <w:rPr>
                <w:rFonts w:ascii="Arial" w:eastAsia="Calibri" w:hAnsi="Arial" w:cs="Arial"/>
                <w:b/>
                <w:bCs/>
                <w:color w:val="00000A"/>
                <w:sz w:val="24"/>
                <w:szCs w:val="24"/>
              </w:rPr>
              <w:t>REKONSTRUKCIJA NERAZVRSTANE CESTE LASOVAC SEVERIN L=cca 1449m</w:t>
            </w:r>
          </w:p>
        </w:tc>
      </w:tr>
      <w:tr w:rsidR="00893906" w:rsidRPr="00893906" w:rsidTr="00893906">
        <w:trPr>
          <w:trHeight w:val="1065"/>
        </w:trPr>
        <w:tc>
          <w:tcPr>
            <w:tcW w:w="3796" w:type="dxa"/>
            <w:tcBorders>
              <w:bottom w:val="single" w:sz="4" w:space="0" w:color="auto"/>
            </w:tcBorders>
          </w:tcPr>
          <w:p w:rsidR="00893906" w:rsidRPr="00893906" w:rsidRDefault="00893906" w:rsidP="00893906">
            <w:pPr>
              <w:spacing w:before="40" w:after="40"/>
              <w:ind w:right="140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93906">
              <w:rPr>
                <w:rFonts w:ascii="Arial" w:eastAsia="Times New Roman" w:hAnsi="Arial" w:cs="Arial"/>
                <w:b/>
                <w:sz w:val="24"/>
                <w:szCs w:val="24"/>
              </w:rPr>
              <w:t>Lokacija:</w:t>
            </w:r>
          </w:p>
        </w:tc>
        <w:tc>
          <w:tcPr>
            <w:tcW w:w="5947" w:type="dxa"/>
            <w:tcBorders>
              <w:bottom w:val="single" w:sz="4" w:space="0" w:color="auto"/>
            </w:tcBorders>
          </w:tcPr>
          <w:p w:rsidR="00893906" w:rsidRPr="00893906" w:rsidRDefault="00893906" w:rsidP="00893906">
            <w:pPr>
              <w:tabs>
                <w:tab w:val="left" w:pos="3686"/>
              </w:tabs>
              <w:spacing w:before="40" w:after="40"/>
              <w:ind w:right="140"/>
              <w:rPr>
                <w:rFonts w:ascii="Arial" w:eastAsia="Calibri" w:hAnsi="Arial" w:cs="Arial"/>
                <w:b/>
                <w:color w:val="00000A"/>
                <w:szCs w:val="24"/>
                <w:lang w:val="en-US"/>
              </w:rPr>
            </w:pPr>
            <w:r w:rsidRPr="00893906">
              <w:rPr>
                <w:rFonts w:ascii="Arial" w:eastAsia="Calibri" w:hAnsi="Arial" w:cs="Arial"/>
                <w:b/>
                <w:bCs/>
                <w:color w:val="00000A"/>
                <w:sz w:val="24"/>
                <w:szCs w:val="24"/>
              </w:rPr>
              <w:t xml:space="preserve"> k.č. br. 1692 u k.o. BEDENIK</w:t>
            </w:r>
          </w:p>
        </w:tc>
      </w:tr>
      <w:tr w:rsidR="00893906" w:rsidRPr="00893906" w:rsidTr="00893906">
        <w:trPr>
          <w:trHeight w:val="1103"/>
        </w:trPr>
        <w:tc>
          <w:tcPr>
            <w:tcW w:w="3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3906" w:rsidRPr="00893906" w:rsidRDefault="00893906" w:rsidP="00893906">
            <w:pPr>
              <w:spacing w:before="40" w:after="40"/>
              <w:ind w:right="140"/>
              <w:rPr>
                <w:rFonts w:ascii="Arial" w:eastAsia="Times New Roman" w:hAnsi="Arial" w:cs="Arial"/>
                <w:b/>
              </w:rPr>
            </w:pPr>
            <w:r w:rsidRPr="00893906">
              <w:rPr>
                <w:rFonts w:ascii="Arial" w:eastAsia="Times New Roman" w:hAnsi="Arial" w:cs="Arial"/>
                <w:b/>
              </w:rPr>
              <w:t>Vrsta projekta (razina istruka):</w:t>
            </w:r>
          </w:p>
        </w:tc>
        <w:tc>
          <w:tcPr>
            <w:tcW w:w="59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06" w:rsidRPr="00893906" w:rsidRDefault="007F7E71" w:rsidP="007F7E71">
            <w:pPr>
              <w:tabs>
                <w:tab w:val="left" w:pos="3686"/>
              </w:tabs>
              <w:spacing w:before="40" w:after="40"/>
              <w:ind w:right="140"/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</w:rPr>
              <w:t>TROŠKOVNIK</w:t>
            </w:r>
          </w:p>
        </w:tc>
      </w:tr>
      <w:tr w:rsidR="00893906" w:rsidRPr="00893906" w:rsidTr="00893906">
        <w:trPr>
          <w:trHeight w:val="880"/>
        </w:trPr>
        <w:tc>
          <w:tcPr>
            <w:tcW w:w="3796" w:type="dxa"/>
            <w:tcBorders>
              <w:top w:val="single" w:sz="4" w:space="0" w:color="auto"/>
            </w:tcBorders>
          </w:tcPr>
          <w:p w:rsidR="00893906" w:rsidRPr="00893906" w:rsidRDefault="00893906" w:rsidP="00893906">
            <w:pPr>
              <w:spacing w:before="40" w:after="40"/>
              <w:ind w:right="140"/>
              <w:rPr>
                <w:rFonts w:ascii="Arial" w:eastAsia="Times New Roman" w:hAnsi="Arial" w:cs="Arial"/>
                <w:b/>
              </w:rPr>
            </w:pPr>
            <w:r w:rsidRPr="00893906">
              <w:rPr>
                <w:rFonts w:ascii="Arial" w:eastAsia="Times New Roman" w:hAnsi="Arial" w:cs="Arial"/>
                <w:b/>
              </w:rPr>
              <w:t>Broj projekta:</w:t>
            </w:r>
          </w:p>
          <w:p w:rsidR="00893906" w:rsidRPr="00893906" w:rsidRDefault="00893906" w:rsidP="00893906">
            <w:pPr>
              <w:spacing w:before="40" w:after="40"/>
              <w:ind w:right="140"/>
              <w:rPr>
                <w:rFonts w:ascii="Arial" w:eastAsia="Times New Roman" w:hAnsi="Arial" w:cs="Arial"/>
                <w:b/>
              </w:rPr>
            </w:pPr>
          </w:p>
          <w:p w:rsidR="00893906" w:rsidRPr="00893906" w:rsidRDefault="00893906" w:rsidP="00893906">
            <w:pPr>
              <w:spacing w:before="40" w:after="40"/>
              <w:ind w:right="140"/>
              <w:rPr>
                <w:rFonts w:ascii="Arial" w:eastAsia="Times New Roman" w:hAnsi="Arial" w:cs="Arial"/>
                <w:b/>
              </w:rPr>
            </w:pPr>
            <w:r w:rsidRPr="00893906">
              <w:rPr>
                <w:rFonts w:ascii="Arial" w:eastAsia="Times New Roman" w:hAnsi="Arial" w:cs="Arial"/>
                <w:b/>
              </w:rPr>
              <w:t>ZOP:</w:t>
            </w:r>
          </w:p>
        </w:tc>
        <w:tc>
          <w:tcPr>
            <w:tcW w:w="5947" w:type="dxa"/>
            <w:tcBorders>
              <w:top w:val="single" w:sz="4" w:space="0" w:color="auto"/>
            </w:tcBorders>
          </w:tcPr>
          <w:p w:rsidR="00893906" w:rsidRPr="00893906" w:rsidRDefault="00893906" w:rsidP="00893906">
            <w:pPr>
              <w:tabs>
                <w:tab w:val="left" w:pos="1604"/>
              </w:tabs>
              <w:ind w:right="140"/>
              <w:rPr>
                <w:rFonts w:ascii="Arial" w:eastAsia="Times New Roman" w:hAnsi="Arial" w:cs="Arial"/>
                <w:b/>
                <w:bCs/>
                <w:lang w:val="en-US" w:eastAsia="hr-HR"/>
              </w:rPr>
            </w:pPr>
            <w:r w:rsidRPr="00893906">
              <w:rPr>
                <w:rFonts w:ascii="Arial" w:eastAsia="Times New Roman" w:hAnsi="Arial" w:cs="Arial"/>
                <w:b/>
                <w:bCs/>
                <w:lang w:val="en-US"/>
              </w:rPr>
              <w:t>T.D. 17-1/2016</w:t>
            </w:r>
            <w:r w:rsidRPr="00893906">
              <w:rPr>
                <w:rFonts w:ascii="Arial" w:eastAsia="Times New Roman" w:hAnsi="Arial" w:cs="Arial"/>
                <w:b/>
                <w:bCs/>
                <w:lang w:val="en-US" w:eastAsia="hr-HR"/>
              </w:rPr>
              <w:tab/>
            </w:r>
          </w:p>
          <w:p w:rsidR="00893906" w:rsidRPr="00893906" w:rsidRDefault="00893906" w:rsidP="00893906">
            <w:pPr>
              <w:tabs>
                <w:tab w:val="left" w:pos="1604"/>
              </w:tabs>
              <w:ind w:right="140"/>
              <w:rPr>
                <w:rFonts w:ascii="Arial" w:eastAsia="Times New Roman" w:hAnsi="Arial" w:cs="Arial"/>
                <w:b/>
                <w:bCs/>
                <w:lang w:val="en-US" w:eastAsia="hr-HR"/>
              </w:rPr>
            </w:pPr>
          </w:p>
          <w:p w:rsidR="00893906" w:rsidRPr="00893906" w:rsidRDefault="00893906" w:rsidP="00893906">
            <w:pPr>
              <w:spacing w:before="40" w:after="40"/>
              <w:ind w:right="140"/>
              <w:rPr>
                <w:rFonts w:ascii="Arial" w:eastAsia="Times New Roman" w:hAnsi="Arial" w:cs="Arial"/>
              </w:rPr>
            </w:pPr>
            <w:r w:rsidRPr="00893906">
              <w:rPr>
                <w:rFonts w:ascii="Arial" w:eastAsia="Times New Roman" w:hAnsi="Arial" w:cs="Arial"/>
                <w:b/>
                <w:bCs/>
              </w:rPr>
              <w:t xml:space="preserve"> 17-1/2016  GLAVNI</w:t>
            </w:r>
          </w:p>
        </w:tc>
      </w:tr>
      <w:tr w:rsidR="00893906" w:rsidRPr="00893906" w:rsidTr="00893906">
        <w:trPr>
          <w:trHeight w:val="2457"/>
        </w:trPr>
        <w:tc>
          <w:tcPr>
            <w:tcW w:w="3796" w:type="dxa"/>
          </w:tcPr>
          <w:p w:rsidR="00893906" w:rsidRPr="00893906" w:rsidRDefault="00893906" w:rsidP="00893906">
            <w:pPr>
              <w:spacing w:before="40" w:after="40"/>
              <w:ind w:right="140"/>
              <w:rPr>
                <w:rFonts w:ascii="Arial" w:eastAsia="Times New Roman" w:hAnsi="Arial" w:cs="Arial"/>
                <w:b/>
              </w:rPr>
            </w:pPr>
          </w:p>
          <w:p w:rsidR="00893906" w:rsidRPr="00893906" w:rsidRDefault="00893906" w:rsidP="00893906">
            <w:pPr>
              <w:spacing w:before="40" w:after="40"/>
              <w:ind w:right="140"/>
              <w:rPr>
                <w:rFonts w:ascii="Arial" w:eastAsia="Times New Roman" w:hAnsi="Arial" w:cs="Arial"/>
                <w:b/>
              </w:rPr>
            </w:pPr>
            <w:r w:rsidRPr="00893906">
              <w:rPr>
                <w:rFonts w:ascii="Arial" w:eastAsia="Times New Roman" w:hAnsi="Arial" w:cs="Arial"/>
                <w:b/>
              </w:rPr>
              <w:t>Projektant građevinskog dijela:</w:t>
            </w:r>
            <w:r w:rsidRPr="00893906">
              <w:rPr>
                <w:rFonts w:ascii="Arial" w:eastAsia="Times New Roman" w:hAnsi="Arial" w:cs="Arial"/>
                <w:b/>
              </w:rPr>
              <w:tab/>
            </w:r>
          </w:p>
          <w:p w:rsidR="00893906" w:rsidRPr="00893906" w:rsidRDefault="00893906" w:rsidP="00893906">
            <w:pPr>
              <w:spacing w:before="40" w:after="40"/>
              <w:ind w:right="140"/>
              <w:rPr>
                <w:rFonts w:ascii="Arial" w:eastAsia="Times New Roman" w:hAnsi="Arial" w:cs="Arial"/>
                <w:b/>
              </w:rPr>
            </w:pPr>
          </w:p>
          <w:p w:rsidR="00893906" w:rsidRPr="00893906" w:rsidRDefault="00893906" w:rsidP="00893906">
            <w:pPr>
              <w:spacing w:before="40" w:after="40"/>
              <w:ind w:right="140"/>
              <w:rPr>
                <w:rFonts w:ascii="Arial" w:eastAsia="Times New Roman" w:hAnsi="Arial" w:cs="Arial"/>
                <w:b/>
              </w:rPr>
            </w:pPr>
          </w:p>
          <w:p w:rsidR="00893906" w:rsidRPr="00893906" w:rsidRDefault="00893906" w:rsidP="00893906">
            <w:pPr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  <w:p w:rsidR="00893906" w:rsidRPr="00893906" w:rsidRDefault="00893906" w:rsidP="00893906">
            <w:pPr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947" w:type="dxa"/>
          </w:tcPr>
          <w:p w:rsidR="00893906" w:rsidRPr="00893906" w:rsidRDefault="00893906" w:rsidP="00893906">
            <w:pPr>
              <w:spacing w:before="40" w:after="40"/>
              <w:ind w:right="140"/>
              <w:rPr>
                <w:rFonts w:ascii="Arial" w:eastAsia="Times New Roman" w:hAnsi="Arial" w:cs="Arial"/>
                <w:b/>
                <w:bCs/>
              </w:rPr>
            </w:pPr>
          </w:p>
          <w:p w:rsidR="00893906" w:rsidRPr="00893906" w:rsidRDefault="00893906" w:rsidP="00893906">
            <w:pPr>
              <w:spacing w:before="40" w:after="40"/>
              <w:ind w:right="140"/>
              <w:rPr>
                <w:rFonts w:ascii="Arial" w:eastAsia="Times New Roman" w:hAnsi="Arial" w:cs="Arial"/>
                <w:b/>
                <w:bCs/>
              </w:rPr>
            </w:pPr>
            <w:r w:rsidRPr="00893906">
              <w:rPr>
                <w:rFonts w:ascii="Arial" w:eastAsia="Times New Roman" w:hAnsi="Arial" w:cs="Arial"/>
                <w:b/>
                <w:bCs/>
              </w:rPr>
              <w:t>Domagoj Ileković, dipl.ing.građ.</w:t>
            </w:r>
          </w:p>
          <w:p w:rsidR="00893906" w:rsidRPr="00893906" w:rsidRDefault="00893906" w:rsidP="00893906">
            <w:pPr>
              <w:spacing w:before="40" w:after="40"/>
              <w:ind w:right="140"/>
              <w:rPr>
                <w:rFonts w:ascii="Arial" w:eastAsia="Times New Roman" w:hAnsi="Arial" w:cs="Arial"/>
                <w:b/>
                <w:bCs/>
              </w:rPr>
            </w:pPr>
          </w:p>
          <w:p w:rsidR="00893906" w:rsidRPr="00893906" w:rsidRDefault="00893906" w:rsidP="00893906">
            <w:pPr>
              <w:spacing w:before="40" w:after="40"/>
              <w:ind w:right="140"/>
              <w:rPr>
                <w:rFonts w:ascii="Arial" w:eastAsia="Times New Roman" w:hAnsi="Arial" w:cs="Arial"/>
                <w:b/>
                <w:bCs/>
              </w:rPr>
            </w:pPr>
          </w:p>
          <w:p w:rsidR="00893906" w:rsidRPr="00893906" w:rsidRDefault="00893906" w:rsidP="00893906">
            <w:pPr>
              <w:spacing w:before="40" w:after="40"/>
              <w:ind w:right="140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893906" w:rsidRPr="00893906" w:rsidTr="00893906">
        <w:trPr>
          <w:trHeight w:val="1691"/>
        </w:trPr>
        <w:tc>
          <w:tcPr>
            <w:tcW w:w="3796" w:type="dxa"/>
          </w:tcPr>
          <w:p w:rsidR="00893906" w:rsidRPr="00893906" w:rsidRDefault="00893906" w:rsidP="00893906">
            <w:pPr>
              <w:spacing w:before="40" w:after="40"/>
              <w:ind w:right="140"/>
              <w:rPr>
                <w:rFonts w:ascii="Arial" w:eastAsia="Times New Roman" w:hAnsi="Arial" w:cs="Arial"/>
                <w:b/>
              </w:rPr>
            </w:pPr>
            <w:r w:rsidRPr="00893906">
              <w:rPr>
                <w:rFonts w:ascii="Arial" w:eastAsia="Times New Roman" w:hAnsi="Arial" w:cs="Arial"/>
                <w:b/>
                <w:spacing w:val="-4"/>
              </w:rPr>
              <w:t xml:space="preserve">Direktor </w:t>
            </w:r>
            <w:r w:rsidRPr="00893906">
              <w:rPr>
                <w:rFonts w:ascii="Arial" w:eastAsia="Times New Roman" w:hAnsi="Arial" w:cs="Arial"/>
                <w:b/>
              </w:rPr>
              <w:t>:</w:t>
            </w:r>
          </w:p>
          <w:p w:rsidR="00893906" w:rsidRPr="00893906" w:rsidRDefault="00893906" w:rsidP="00893906">
            <w:pPr>
              <w:spacing w:before="40" w:after="40"/>
              <w:ind w:right="140"/>
              <w:rPr>
                <w:rFonts w:ascii="Arial" w:eastAsia="Times New Roman" w:hAnsi="Arial" w:cs="Arial"/>
                <w:b/>
              </w:rPr>
            </w:pPr>
          </w:p>
          <w:p w:rsidR="00893906" w:rsidRPr="00893906" w:rsidRDefault="00893906" w:rsidP="00893906">
            <w:pPr>
              <w:spacing w:before="40" w:after="40"/>
              <w:ind w:right="140"/>
              <w:rPr>
                <w:rFonts w:ascii="Arial" w:eastAsia="Times New Roman" w:hAnsi="Arial" w:cs="Arial"/>
                <w:b/>
              </w:rPr>
            </w:pPr>
          </w:p>
          <w:p w:rsidR="00893906" w:rsidRPr="00893906" w:rsidRDefault="00893906" w:rsidP="00893906">
            <w:pPr>
              <w:spacing w:before="40" w:after="40"/>
              <w:ind w:right="140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5947" w:type="dxa"/>
          </w:tcPr>
          <w:p w:rsidR="00893906" w:rsidRPr="00893906" w:rsidRDefault="00893906" w:rsidP="00893906">
            <w:pPr>
              <w:spacing w:before="40" w:after="40"/>
              <w:ind w:right="140"/>
              <w:rPr>
                <w:rFonts w:ascii="Arial" w:eastAsia="Times New Roman" w:hAnsi="Arial" w:cs="Arial"/>
                <w:b/>
                <w:bCs/>
              </w:rPr>
            </w:pPr>
            <w:r w:rsidRPr="00893906">
              <w:rPr>
                <w:rFonts w:ascii="Arial" w:eastAsia="Times New Roman" w:hAnsi="Arial" w:cs="Arial"/>
                <w:b/>
                <w:bCs/>
              </w:rPr>
              <w:t>Hrvoje Malčić, dipl.ing.građ.</w:t>
            </w:r>
          </w:p>
          <w:p w:rsidR="00893906" w:rsidRPr="00893906" w:rsidRDefault="00893906" w:rsidP="00893906">
            <w:pPr>
              <w:spacing w:before="40" w:after="40"/>
              <w:ind w:right="140"/>
              <w:rPr>
                <w:rFonts w:ascii="Arial" w:eastAsia="Times New Roman" w:hAnsi="Arial" w:cs="Arial"/>
                <w:b/>
                <w:bCs/>
              </w:rPr>
            </w:pPr>
          </w:p>
          <w:p w:rsidR="00893906" w:rsidRPr="00893906" w:rsidRDefault="00893906" w:rsidP="00893906">
            <w:pPr>
              <w:spacing w:before="40" w:after="40"/>
              <w:ind w:right="140"/>
              <w:rPr>
                <w:rFonts w:ascii="Arial" w:eastAsia="Times New Roman" w:hAnsi="Arial" w:cs="Arial"/>
                <w:b/>
                <w:bCs/>
              </w:rPr>
            </w:pPr>
          </w:p>
          <w:p w:rsidR="00893906" w:rsidRPr="00893906" w:rsidRDefault="00893906" w:rsidP="00893906">
            <w:pPr>
              <w:spacing w:before="40" w:after="40"/>
              <w:ind w:right="140"/>
              <w:rPr>
                <w:rFonts w:ascii="Arial" w:eastAsia="Times New Roman" w:hAnsi="Arial" w:cs="Arial"/>
                <w:b/>
              </w:rPr>
            </w:pPr>
          </w:p>
          <w:p w:rsidR="00893906" w:rsidRPr="00893906" w:rsidRDefault="00893906" w:rsidP="00893906">
            <w:pPr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</w:tr>
      <w:tr w:rsidR="00893906" w:rsidRPr="00893906" w:rsidTr="00893906">
        <w:trPr>
          <w:trHeight w:val="561"/>
        </w:trPr>
        <w:tc>
          <w:tcPr>
            <w:tcW w:w="3796" w:type="dxa"/>
          </w:tcPr>
          <w:p w:rsidR="00893906" w:rsidRPr="00893906" w:rsidRDefault="00893906" w:rsidP="00893906">
            <w:pPr>
              <w:spacing w:before="40" w:after="40"/>
              <w:ind w:right="140"/>
              <w:rPr>
                <w:rFonts w:ascii="Arial" w:eastAsia="Times New Roman" w:hAnsi="Arial" w:cs="Arial"/>
                <w:b/>
              </w:rPr>
            </w:pPr>
            <w:r w:rsidRPr="00893906">
              <w:rPr>
                <w:rFonts w:ascii="Arial" w:eastAsia="Times New Roman" w:hAnsi="Arial" w:cs="Arial"/>
                <w:b/>
              </w:rPr>
              <w:t>Mjesto i datum:</w:t>
            </w:r>
          </w:p>
        </w:tc>
        <w:tc>
          <w:tcPr>
            <w:tcW w:w="5947" w:type="dxa"/>
          </w:tcPr>
          <w:p w:rsidR="00893906" w:rsidRPr="00893906" w:rsidRDefault="00893906" w:rsidP="00893906">
            <w:pPr>
              <w:spacing w:before="40" w:after="40"/>
              <w:ind w:right="140"/>
              <w:rPr>
                <w:rFonts w:ascii="Arial" w:eastAsia="Times New Roman" w:hAnsi="Arial" w:cs="Arial"/>
                <w:b/>
              </w:rPr>
            </w:pPr>
            <w:r w:rsidRPr="00893906">
              <w:rPr>
                <w:rFonts w:ascii="Arial" w:eastAsia="Times New Roman" w:hAnsi="Arial" w:cs="Arial"/>
                <w:b/>
                <w:bCs/>
              </w:rPr>
              <w:t xml:space="preserve">Bjelovar, </w:t>
            </w:r>
            <w:r w:rsidRPr="00893906">
              <w:rPr>
                <w:rFonts w:ascii="Arial" w:eastAsia="Times New Roman" w:hAnsi="Arial" w:cs="Arial"/>
                <w:b/>
              </w:rPr>
              <w:t>rujan 2016.</w:t>
            </w:r>
          </w:p>
        </w:tc>
      </w:tr>
    </w:tbl>
    <w:p w:rsidR="00893906" w:rsidRDefault="00893906">
      <w:r>
        <w:br w:type="page"/>
      </w:r>
    </w:p>
    <w:tbl>
      <w:tblPr>
        <w:tblStyle w:val="Reetkatablice13"/>
        <w:tblpPr w:leftFromText="180" w:rightFromText="180" w:vertAnchor="text" w:horzAnchor="margin" w:tblpY="128"/>
        <w:tblW w:w="97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7697"/>
      </w:tblGrid>
      <w:tr w:rsidR="00893906" w:rsidRPr="00893906" w:rsidTr="0021636B">
        <w:trPr>
          <w:trHeight w:val="561"/>
        </w:trPr>
        <w:tc>
          <w:tcPr>
            <w:tcW w:w="2093" w:type="dxa"/>
          </w:tcPr>
          <w:p w:rsidR="00893906" w:rsidRPr="00893906" w:rsidRDefault="00893906" w:rsidP="00893906">
            <w:pPr>
              <w:ind w:right="140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93906">
              <w:rPr>
                <w:rFonts w:ascii="Arial" w:eastAsia="Times New Roman" w:hAnsi="Arial" w:cs="Arial"/>
                <w:b/>
                <w:bCs/>
                <w:lang w:val="en-US"/>
              </w:rPr>
              <w:lastRenderedPageBreak/>
              <w:t xml:space="preserve">INVESTITOR:        </w:t>
            </w:r>
          </w:p>
        </w:tc>
        <w:tc>
          <w:tcPr>
            <w:tcW w:w="7697" w:type="dxa"/>
          </w:tcPr>
          <w:p w:rsidR="00893906" w:rsidRPr="00893906" w:rsidRDefault="00893906" w:rsidP="00893906">
            <w:pPr>
              <w:tabs>
                <w:tab w:val="left" w:pos="3686"/>
              </w:tabs>
              <w:ind w:right="140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r w:rsidRPr="00893906">
              <w:rPr>
                <w:rFonts w:ascii="Arial" w:hAnsi="Arial" w:cs="Arial"/>
                <w:b/>
                <w:bCs/>
                <w:color w:val="000000"/>
              </w:rPr>
              <w:t>Općina Šandrovac, Bjelovarska 6, 43227 Šandrovac</w:t>
            </w:r>
          </w:p>
        </w:tc>
      </w:tr>
      <w:tr w:rsidR="00893906" w:rsidRPr="00893906" w:rsidTr="0021636B">
        <w:trPr>
          <w:trHeight w:val="569"/>
        </w:trPr>
        <w:tc>
          <w:tcPr>
            <w:tcW w:w="2093" w:type="dxa"/>
          </w:tcPr>
          <w:p w:rsidR="00893906" w:rsidRPr="00893906" w:rsidRDefault="00893906" w:rsidP="00893906">
            <w:pPr>
              <w:ind w:right="140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93906">
              <w:rPr>
                <w:rFonts w:ascii="Arial" w:eastAsia="Times New Roman" w:hAnsi="Arial" w:cs="Arial"/>
                <w:b/>
                <w:bCs/>
                <w:lang w:val="en-US"/>
              </w:rPr>
              <w:t>GRAĐEVINA:</w:t>
            </w:r>
          </w:p>
        </w:tc>
        <w:tc>
          <w:tcPr>
            <w:tcW w:w="7697" w:type="dxa"/>
          </w:tcPr>
          <w:p w:rsidR="00893906" w:rsidRPr="00893906" w:rsidRDefault="00893906" w:rsidP="00893906">
            <w:pPr>
              <w:ind w:right="142"/>
              <w:rPr>
                <w:rFonts w:ascii="Arial" w:eastAsia="Times New Roman" w:hAnsi="Arial" w:cs="Arial"/>
                <w:b/>
                <w:bCs/>
                <w:lang w:val="en-US"/>
              </w:rPr>
            </w:pPr>
            <w:r w:rsidRPr="00893906">
              <w:rPr>
                <w:rFonts w:ascii="Arial" w:eastAsia="Times New Roman" w:hAnsi="Arial" w:cs="Arial"/>
                <w:b/>
                <w:lang w:val="en-US"/>
              </w:rPr>
              <w:t>REKONSTRUKCIJA NERAZVRSTANE CESTE LASOVAC SEVERIN L=cca 1449m</w:t>
            </w:r>
          </w:p>
        </w:tc>
      </w:tr>
      <w:tr w:rsidR="00893906" w:rsidRPr="00893906" w:rsidTr="0021636B">
        <w:trPr>
          <w:trHeight w:val="722"/>
        </w:trPr>
        <w:tc>
          <w:tcPr>
            <w:tcW w:w="2093" w:type="dxa"/>
          </w:tcPr>
          <w:p w:rsidR="00893906" w:rsidRPr="00893906" w:rsidRDefault="00893906" w:rsidP="00893906">
            <w:pPr>
              <w:ind w:right="140"/>
              <w:rPr>
                <w:rFonts w:ascii="Arial" w:eastAsia="Times New Roman" w:hAnsi="Arial" w:cs="Arial"/>
                <w:b/>
                <w:bCs/>
                <w:lang w:val="en-US"/>
              </w:rPr>
            </w:pPr>
            <w:r w:rsidRPr="00893906">
              <w:rPr>
                <w:rFonts w:ascii="Arial" w:eastAsia="Times New Roman" w:hAnsi="Arial" w:cs="Arial"/>
                <w:b/>
                <w:bCs/>
                <w:lang w:val="en-US"/>
              </w:rPr>
              <w:t>LOKACIJA:</w:t>
            </w:r>
          </w:p>
          <w:p w:rsidR="00893906" w:rsidRPr="00893906" w:rsidRDefault="00893906" w:rsidP="00893906">
            <w:pPr>
              <w:ind w:right="140"/>
              <w:rPr>
                <w:rFonts w:ascii="Arial" w:eastAsia="Times New Roman" w:hAnsi="Arial" w:cs="Arial"/>
                <w:b/>
                <w:bCs/>
                <w:lang w:val="en-GB"/>
              </w:rPr>
            </w:pPr>
          </w:p>
        </w:tc>
        <w:tc>
          <w:tcPr>
            <w:tcW w:w="7697" w:type="dxa"/>
          </w:tcPr>
          <w:p w:rsidR="00893906" w:rsidRPr="00893906" w:rsidRDefault="00893906" w:rsidP="00893906">
            <w:pPr>
              <w:jc w:val="both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r w:rsidRPr="00893906">
              <w:rPr>
                <w:rFonts w:ascii="Arial" w:eastAsia="Times New Roman" w:hAnsi="Arial" w:cs="Arial"/>
                <w:b/>
                <w:lang w:val="en-US"/>
              </w:rPr>
              <w:t xml:space="preserve"> k.č. br. 1692 u k.o. BEDENIK</w:t>
            </w:r>
          </w:p>
        </w:tc>
      </w:tr>
      <w:tr w:rsidR="00893906" w:rsidRPr="00893906" w:rsidTr="0021636B">
        <w:trPr>
          <w:trHeight w:val="422"/>
        </w:trPr>
        <w:tc>
          <w:tcPr>
            <w:tcW w:w="2093" w:type="dxa"/>
          </w:tcPr>
          <w:p w:rsidR="00893906" w:rsidRPr="00893906" w:rsidRDefault="00893906" w:rsidP="00893906">
            <w:pPr>
              <w:ind w:right="140"/>
              <w:rPr>
                <w:rFonts w:ascii="Arial" w:eastAsia="Times New Roman" w:hAnsi="Arial" w:cs="Arial"/>
                <w:b/>
                <w:bCs/>
                <w:lang w:val="en-US"/>
              </w:rPr>
            </w:pPr>
            <w:r w:rsidRPr="00893906">
              <w:rPr>
                <w:rFonts w:ascii="Arial" w:eastAsia="Times New Roman" w:hAnsi="Arial" w:cs="Arial"/>
                <w:b/>
                <w:bCs/>
                <w:lang w:val="en-US"/>
              </w:rPr>
              <w:t>T.D:</w:t>
            </w:r>
          </w:p>
          <w:p w:rsidR="00893906" w:rsidRPr="00893906" w:rsidRDefault="00893906" w:rsidP="00893906">
            <w:pPr>
              <w:ind w:right="140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93906">
              <w:rPr>
                <w:rFonts w:ascii="Arial" w:eastAsia="Times New Roman" w:hAnsi="Arial" w:cs="Arial"/>
                <w:b/>
                <w:bCs/>
                <w:lang w:val="en-US"/>
              </w:rPr>
              <w:t>ZOP:</w:t>
            </w:r>
          </w:p>
        </w:tc>
        <w:tc>
          <w:tcPr>
            <w:tcW w:w="7697" w:type="dxa"/>
          </w:tcPr>
          <w:p w:rsidR="00893906" w:rsidRPr="00893906" w:rsidRDefault="00893906" w:rsidP="00893906">
            <w:pPr>
              <w:ind w:right="140"/>
              <w:rPr>
                <w:rFonts w:ascii="Arial" w:eastAsia="Times New Roman" w:hAnsi="Arial" w:cs="Arial"/>
                <w:b/>
                <w:bCs/>
                <w:lang w:val="en-US"/>
              </w:rPr>
            </w:pPr>
            <w:r w:rsidRPr="00893906">
              <w:rPr>
                <w:rFonts w:ascii="Arial" w:eastAsia="Times New Roman" w:hAnsi="Arial" w:cs="Arial"/>
                <w:b/>
                <w:bCs/>
                <w:lang w:val="en-US"/>
              </w:rPr>
              <w:t>T.D. 17-1/2016</w:t>
            </w:r>
          </w:p>
          <w:p w:rsidR="00893906" w:rsidRPr="00893906" w:rsidRDefault="00893906" w:rsidP="00893906">
            <w:pPr>
              <w:rPr>
                <w:rFonts w:ascii="Arial" w:eastAsia="Times New Roman" w:hAnsi="Arial" w:cs="Arial"/>
                <w:lang w:val="en-US"/>
              </w:rPr>
            </w:pPr>
            <w:r w:rsidRPr="00893906">
              <w:rPr>
                <w:rFonts w:ascii="Arial" w:eastAsia="Times New Roman" w:hAnsi="Arial" w:cs="Arial"/>
                <w:b/>
                <w:bCs/>
                <w:lang w:val="en-US"/>
              </w:rPr>
              <w:t xml:space="preserve"> 17-1/2016  GLAVNI</w:t>
            </w:r>
          </w:p>
        </w:tc>
      </w:tr>
    </w:tbl>
    <w:p w:rsidR="00E70198" w:rsidRPr="005F095A" w:rsidRDefault="00E70198" w:rsidP="00E70198">
      <w:pPr>
        <w:tabs>
          <w:tab w:val="left" w:pos="-589"/>
        </w:tabs>
        <w:suppressAutoHyphens/>
        <w:jc w:val="both"/>
        <w:rPr>
          <w:rFonts w:ascii="Arial" w:hAnsi="Arial" w:cs="Arial"/>
          <w:b/>
          <w:bCs/>
          <w:sz w:val="24"/>
          <w:szCs w:val="24"/>
        </w:rPr>
      </w:pPr>
    </w:p>
    <w:p w:rsidR="00E70198" w:rsidRPr="005F095A" w:rsidRDefault="00E70198" w:rsidP="00E70198">
      <w:pPr>
        <w:tabs>
          <w:tab w:val="left" w:pos="-589"/>
        </w:tabs>
        <w:suppressAutoHyphens/>
        <w:jc w:val="both"/>
        <w:rPr>
          <w:rFonts w:ascii="Arial" w:hAnsi="Arial" w:cs="Arial"/>
          <w:b/>
          <w:bCs/>
          <w:sz w:val="24"/>
          <w:szCs w:val="24"/>
        </w:rPr>
      </w:pPr>
    </w:p>
    <w:p w:rsidR="00E70198" w:rsidRPr="005F095A" w:rsidRDefault="00E70198" w:rsidP="00E70198">
      <w:pPr>
        <w:tabs>
          <w:tab w:val="left" w:pos="-589"/>
        </w:tabs>
        <w:suppressAutoHyphens/>
        <w:jc w:val="both"/>
        <w:rPr>
          <w:rFonts w:ascii="Arial" w:hAnsi="Arial" w:cs="Arial"/>
          <w:b/>
          <w:bCs/>
          <w:sz w:val="24"/>
          <w:szCs w:val="24"/>
        </w:rPr>
      </w:pPr>
    </w:p>
    <w:p w:rsidR="00E70198" w:rsidRPr="005F095A" w:rsidRDefault="00E70198" w:rsidP="00E70198">
      <w:pPr>
        <w:tabs>
          <w:tab w:val="left" w:pos="-589"/>
        </w:tabs>
        <w:suppressAutoHyphens/>
        <w:jc w:val="both"/>
        <w:rPr>
          <w:rFonts w:ascii="Arial" w:hAnsi="Arial" w:cs="Arial"/>
          <w:b/>
          <w:bCs/>
          <w:sz w:val="24"/>
          <w:szCs w:val="24"/>
        </w:rPr>
      </w:pPr>
    </w:p>
    <w:p w:rsidR="00E70198" w:rsidRPr="005F095A" w:rsidRDefault="00F45A24" w:rsidP="00E70198">
      <w:pPr>
        <w:spacing w:line="276" w:lineRule="auto"/>
        <w:ind w:firstLine="284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TROŠKOVNIK</w:t>
      </w:r>
    </w:p>
    <w:p w:rsidR="00E70198" w:rsidRPr="005F095A" w:rsidRDefault="00E70198" w:rsidP="00E70198">
      <w:pPr>
        <w:tabs>
          <w:tab w:val="left" w:pos="-589"/>
        </w:tabs>
        <w:suppressAutoHyphens/>
        <w:jc w:val="both"/>
        <w:rPr>
          <w:rFonts w:ascii="Arial" w:hAnsi="Arial" w:cs="Arial"/>
          <w:b/>
          <w:bCs/>
          <w:sz w:val="24"/>
          <w:szCs w:val="24"/>
        </w:rPr>
      </w:pPr>
    </w:p>
    <w:p w:rsidR="00E70198" w:rsidRPr="005F095A" w:rsidRDefault="00E70198" w:rsidP="00E70198">
      <w:pPr>
        <w:tabs>
          <w:tab w:val="left" w:pos="-589"/>
        </w:tabs>
        <w:suppressAutoHyphens/>
        <w:jc w:val="both"/>
        <w:rPr>
          <w:rFonts w:ascii="Arial" w:hAnsi="Arial" w:cs="Arial"/>
          <w:b/>
          <w:bCs/>
          <w:sz w:val="24"/>
          <w:szCs w:val="24"/>
        </w:rPr>
      </w:pPr>
    </w:p>
    <w:p w:rsidR="00E70198" w:rsidRPr="005F095A" w:rsidRDefault="00E70198" w:rsidP="00E70198">
      <w:pPr>
        <w:jc w:val="both"/>
        <w:rPr>
          <w:rFonts w:ascii="Arial" w:hAnsi="Arial" w:cs="Arial"/>
        </w:rPr>
      </w:pPr>
    </w:p>
    <w:p w:rsidR="00E70198" w:rsidRPr="005F095A" w:rsidRDefault="00F45A24" w:rsidP="00E7019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IZRADIO</w:t>
      </w:r>
      <w:r w:rsidR="00E70198" w:rsidRPr="005F095A">
        <w:rPr>
          <w:rFonts w:ascii="Arial" w:hAnsi="Arial" w:cs="Arial"/>
        </w:rPr>
        <w:t>:</w:t>
      </w:r>
    </w:p>
    <w:p w:rsidR="00E70198" w:rsidRPr="005F095A" w:rsidRDefault="00E70198" w:rsidP="00E7019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Domagoj Ileković  dipl.ing.građ. </w:t>
      </w:r>
    </w:p>
    <w:p w:rsidR="00E70198" w:rsidRPr="005F095A" w:rsidRDefault="00E70198" w:rsidP="00E70198">
      <w:pPr>
        <w:jc w:val="both"/>
        <w:rPr>
          <w:rFonts w:ascii="Arial" w:hAnsi="Arial" w:cs="Arial"/>
          <w:b/>
        </w:rPr>
      </w:pPr>
    </w:p>
    <w:p w:rsidR="00E70198" w:rsidRPr="005F095A" w:rsidRDefault="00E70198" w:rsidP="00E70198">
      <w:pPr>
        <w:jc w:val="both"/>
        <w:rPr>
          <w:rFonts w:ascii="Arial" w:hAnsi="Arial" w:cs="Arial"/>
          <w:b/>
        </w:rPr>
      </w:pPr>
    </w:p>
    <w:p w:rsidR="00E70198" w:rsidRPr="005F095A" w:rsidRDefault="00E70198" w:rsidP="00E70198">
      <w:pPr>
        <w:jc w:val="both"/>
        <w:rPr>
          <w:rFonts w:ascii="Arial" w:hAnsi="Arial" w:cs="Arial"/>
          <w:b/>
        </w:rPr>
      </w:pPr>
    </w:p>
    <w:p w:rsidR="00E70198" w:rsidRPr="005F095A" w:rsidRDefault="00E70198" w:rsidP="00E70198">
      <w:pPr>
        <w:jc w:val="both"/>
        <w:rPr>
          <w:rFonts w:ascii="Arial" w:hAnsi="Arial" w:cs="Arial"/>
          <w:b/>
        </w:rPr>
      </w:pPr>
    </w:p>
    <w:p w:rsidR="00E70198" w:rsidRPr="005F095A" w:rsidRDefault="00E70198" w:rsidP="00E70198">
      <w:pPr>
        <w:jc w:val="both"/>
        <w:rPr>
          <w:rFonts w:ascii="Arial" w:hAnsi="Arial" w:cs="Arial"/>
          <w:b/>
        </w:rPr>
      </w:pPr>
    </w:p>
    <w:p w:rsidR="00E70198" w:rsidRDefault="00E70198" w:rsidP="00E70198">
      <w:pPr>
        <w:jc w:val="both"/>
        <w:rPr>
          <w:rFonts w:ascii="Arial" w:hAnsi="Arial" w:cs="Arial"/>
        </w:rPr>
      </w:pPr>
    </w:p>
    <w:p w:rsidR="00E70198" w:rsidRDefault="00E70198" w:rsidP="00E70198">
      <w:pPr>
        <w:jc w:val="both"/>
        <w:rPr>
          <w:rFonts w:ascii="Arial" w:hAnsi="Arial" w:cs="Arial"/>
        </w:rPr>
      </w:pPr>
    </w:p>
    <w:p w:rsidR="00E70198" w:rsidRPr="005F095A" w:rsidRDefault="00E70198" w:rsidP="00E7019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U Bjelovaru, rujan 2016.</w:t>
      </w:r>
    </w:p>
    <w:p w:rsidR="00E70198" w:rsidRPr="005F095A" w:rsidRDefault="00E70198" w:rsidP="00E70198">
      <w:pPr>
        <w:tabs>
          <w:tab w:val="left" w:pos="-589"/>
          <w:tab w:val="left" w:pos="697"/>
          <w:tab w:val="left" w:pos="1790"/>
          <w:tab w:val="left" w:pos="2131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  <w:tab w:val="left" w:pos="10777"/>
          <w:tab w:val="left" w:pos="11497"/>
          <w:tab w:val="left" w:pos="12217"/>
          <w:tab w:val="left" w:pos="12937"/>
          <w:tab w:val="left" w:pos="13657"/>
          <w:tab w:val="left" w:pos="14377"/>
          <w:tab w:val="left" w:pos="15097"/>
          <w:tab w:val="left" w:pos="15817"/>
          <w:tab w:val="left" w:pos="16537"/>
          <w:tab w:val="left" w:pos="17257"/>
          <w:tab w:val="left" w:pos="17977"/>
          <w:tab w:val="left" w:pos="18697"/>
          <w:tab w:val="left" w:pos="30240"/>
        </w:tabs>
        <w:suppressAutoHyphens/>
        <w:jc w:val="both"/>
        <w:rPr>
          <w:rFonts w:ascii="Arial" w:hAnsi="Arial" w:cs="Arial"/>
          <w:color w:val="FF0000"/>
          <w:spacing w:val="-3"/>
        </w:rPr>
      </w:pPr>
    </w:p>
    <w:p w:rsidR="00F45A24" w:rsidRDefault="00F45A24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F45A24" w:rsidRDefault="00F45A24" w:rsidP="00F45A24">
      <w:pPr>
        <w:spacing w:after="200" w:line="276" w:lineRule="auto"/>
        <w:jc w:val="right"/>
      </w:pPr>
      <w:r>
        <w:rPr>
          <w:noProof/>
          <w:lang w:eastAsia="hr-HR"/>
        </w:rPr>
        <w:lastRenderedPageBreak/>
        <w:drawing>
          <wp:inline distT="0" distB="0" distL="0" distR="0" wp14:anchorId="1F260A17" wp14:editId="115DDBC4">
            <wp:extent cx="5766435" cy="8258810"/>
            <wp:effectExtent l="0" t="0" r="5715" b="8890"/>
            <wp:docPr id="14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A24" w:rsidRDefault="00F45A24" w:rsidP="00F45A24">
      <w:pPr>
        <w:spacing w:after="200" w:line="276" w:lineRule="auto"/>
      </w:pPr>
      <w:r>
        <w:rPr>
          <w:noProof/>
          <w:lang w:eastAsia="hr-HR"/>
        </w:rPr>
        <w:lastRenderedPageBreak/>
        <w:drawing>
          <wp:inline distT="0" distB="0" distL="0" distR="0" wp14:anchorId="58C4B126" wp14:editId="0CCCF72E">
            <wp:extent cx="5924550" cy="8220075"/>
            <wp:effectExtent l="0" t="0" r="0" b="9525"/>
            <wp:docPr id="20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A24" w:rsidRDefault="00F45A24" w:rsidP="00F45A24">
      <w:pPr>
        <w:spacing w:after="200" w:line="276" w:lineRule="auto"/>
      </w:pPr>
      <w:r>
        <w:rPr>
          <w:noProof/>
          <w:lang w:eastAsia="hr-HR"/>
        </w:rPr>
        <w:lastRenderedPageBreak/>
        <w:drawing>
          <wp:inline distT="0" distB="0" distL="0" distR="0" wp14:anchorId="2E335EF4" wp14:editId="03CE75CF">
            <wp:extent cx="5972810" cy="8054975"/>
            <wp:effectExtent l="0" t="0" r="8890" b="3175"/>
            <wp:docPr id="21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05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A24" w:rsidRDefault="00F45A24" w:rsidP="00F45A24">
      <w:pPr>
        <w:spacing w:after="200" w:line="276" w:lineRule="auto"/>
        <w:jc w:val="right"/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5514975" cy="8062595"/>
            <wp:effectExtent l="0" t="0" r="9525" b="0"/>
            <wp:wrapTopAndBottom/>
            <wp:docPr id="22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CDC58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806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0198" w:rsidRPr="005F095A" w:rsidRDefault="00F45A24" w:rsidP="002F36D7">
      <w:pPr>
        <w:tabs>
          <w:tab w:val="left" w:pos="567"/>
          <w:tab w:val="center" w:pos="7230"/>
        </w:tabs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  <w:lang w:eastAsia="hr-HR"/>
        </w:rPr>
        <w:lastRenderedPageBreak/>
        <w:drawing>
          <wp:inline distT="0" distB="0" distL="0" distR="0" wp14:anchorId="0D579DD2" wp14:editId="754E40C0">
            <wp:extent cx="5478283" cy="8092710"/>
            <wp:effectExtent l="0" t="0" r="8255" b="3810"/>
            <wp:docPr id="23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C3FE6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865" cy="809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0198">
        <w:rPr>
          <w:rFonts w:ascii="Arial" w:hAnsi="Arial" w:cs="Arial"/>
          <w:b/>
          <w:sz w:val="32"/>
          <w:szCs w:val="32"/>
        </w:rPr>
        <w:lastRenderedPageBreak/>
        <w:t>IZVADAK IZ OPĆIH TEHNIČKIH UVJETA ZA RADOVE NA CESTAMA</w:t>
      </w:r>
    </w:p>
    <w:p w:rsidR="00E70198" w:rsidRDefault="00E7019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F45A24" w:rsidRDefault="00F45A24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MATERIJALI, PROIZVODI I RADOVI</w:t>
      </w: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Za sve materijale i proizvode o kojima ovisi ispunjavanje bitnih zahtjeva za građevine</w:t>
      </w:r>
      <w:r w:rsidR="00013141" w:rsidRP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izvođač je dužan osigurati dokaz uporabljivosti prema ZOG-u ili drugim zakonima, npr.</w:t>
      </w:r>
      <w:r w:rsidR="00013141" w:rsidRP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potvrdu (certifikat) prema naredbi o obvezatnom certificiranju (ZON).Tu dokaznu dokumentaciju u originalu, izvođač mora pravodobno dostaviti nadzornom</w:t>
      </w:r>
      <w:r w:rsidR="00ED2407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inženjeru na odobrenje.</w:t>
      </w:r>
      <w:r w:rsidR="00013141" w:rsidRP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Nadzorni inženjer ima pravo i dužnost provjere dokaza uporabljivosti pomoću kontrolnih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ispitivanja, prema odredbama ovih OTU.</w:t>
      </w:r>
      <w:r w:rsidR="00013141" w:rsidRP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Za materijale, proizvode i radove za koje nije utvrđen postupak dokazivanja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uporabljivosti provode se ispitivanja prema odredbama ovih OTU (vidi slijedeća</w:t>
      </w:r>
      <w:r w:rsidR="00013141" w:rsidRP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poglavlja po područjima). Ta ispitivanja obuhvaćaju najmanje:</w:t>
      </w: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 xml:space="preserve">• </w:t>
      </w:r>
      <w:r w:rsidRPr="00013141">
        <w:rPr>
          <w:rFonts w:cstheme="minorHAnsi"/>
          <w:b/>
          <w:bCs/>
          <w:sz w:val="20"/>
        </w:rPr>
        <w:t xml:space="preserve">prethodna ispitivanja </w:t>
      </w:r>
      <w:r w:rsidRPr="00013141">
        <w:rPr>
          <w:rFonts w:cstheme="minorHAnsi"/>
          <w:sz w:val="20"/>
        </w:rPr>
        <w:t>(izvođač) kao dokaz uporabljivosti,</w:t>
      </w: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• vlastita ispitivanja proizvođača (izvođača) tijekom proizvodnje (</w:t>
      </w:r>
      <w:r w:rsidRPr="00013141">
        <w:rPr>
          <w:rFonts w:cstheme="minorHAnsi"/>
          <w:b/>
          <w:bCs/>
          <w:sz w:val="20"/>
        </w:rPr>
        <w:t>tekuća</w:t>
      </w:r>
      <w:r w:rsidR="00013141">
        <w:rPr>
          <w:rFonts w:cstheme="minorHAnsi"/>
          <w:b/>
          <w:bCs/>
          <w:sz w:val="20"/>
        </w:rPr>
        <w:t xml:space="preserve"> </w:t>
      </w:r>
      <w:r w:rsidRPr="00013141">
        <w:rPr>
          <w:rFonts w:cstheme="minorHAnsi"/>
          <w:b/>
          <w:bCs/>
          <w:sz w:val="20"/>
        </w:rPr>
        <w:t>ispitivanja</w:t>
      </w:r>
      <w:r w:rsidRPr="00013141">
        <w:rPr>
          <w:rFonts w:cstheme="minorHAnsi"/>
          <w:sz w:val="20"/>
        </w:rPr>
        <w:t>),</w:t>
      </w:r>
    </w:p>
    <w:p w:rsid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 xml:space="preserve">• </w:t>
      </w:r>
      <w:r w:rsidRPr="00013141">
        <w:rPr>
          <w:rFonts w:cstheme="minorHAnsi"/>
          <w:b/>
          <w:bCs/>
          <w:sz w:val="20"/>
        </w:rPr>
        <w:t xml:space="preserve">kontrolna ispitivanja </w:t>
      </w:r>
      <w:r w:rsidRPr="00013141">
        <w:rPr>
          <w:rFonts w:cstheme="minorHAnsi"/>
          <w:sz w:val="20"/>
        </w:rPr>
        <w:t>materijala, proizvoda i radova od strane investitora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 xml:space="preserve">(nadzornog inženjera). </w:t>
      </w: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Provode se na bazi izrađenog programa ispitivanja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uvažavajući; tekuća ispitivanja, vizuelna zapažanja m</w:t>
      </w:r>
      <w:r w:rsidR="00013141">
        <w:rPr>
          <w:rFonts w:cstheme="minorHAnsi"/>
          <w:sz w:val="20"/>
        </w:rPr>
        <w:t xml:space="preserve">jesta (uzoraka) ispitivanja, uz </w:t>
      </w:r>
      <w:r w:rsidRPr="00013141">
        <w:rPr>
          <w:rFonts w:cstheme="minorHAnsi"/>
          <w:sz w:val="20"/>
        </w:rPr>
        <w:t>primjenu provjerenih statističkih metoda.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Vrsta i opseg svih ispitivanja utvrđena su ovim OTU. Sva ispitivanja provodi ovlašteni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laboratorij (vidi definiciju “ovlašteno tijelo” u potpoglavlju 0-02.1) ili laboratorij podnadzorom ovlaštenog tijela.Sve materijale, proizvode i radove mora odobriti nadzorni inženjer i ne mogu se mijenjatibez njegova odobrenja.Izvođač mora nadzornom inženjeru omogućiti nesmetan pristup proizvodnom pogonu i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laboratoriju radi potrebnih provjera i/ili uzimanja uzoraka za kontrolna ispitivanja.Vrsta i opseg provjere kvalitete radova određuju se prema podacima iz potpoglavlja 0-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03.1 ovih OTU, a sadržani su u Programu kontrole i osiguranja kakvoće (PKOK). Tim se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programom propisuju postupci koje obvezno ovjerava nadzorni inženjer.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Posebnu pažnju treba posvetiti kontroli radova o kojima ovisi ispunjavanje bitnih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zahtjeva za građevinu (mehanička otpornost i stabilnost, sigurnost u korištenju, zaštita od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požara i buke i dr.) te o pravodobnom uključivanju geodetskih mjerenja.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U slučaju odstupanja materijala, proizvoda i radova od propisane kakvoće, nadzorni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inženjer ima pravo zahtijevati dodatna ispitivanja i/ili sanaciju radova na teret Izvođača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radova.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U slučaju bitnog odstupanja materijala, proizvoda i radova od propisane kakvoće,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nadzorni inženjer će propisati otklanjanje tih radova i njihovu zamjenu s novim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materijalima, proizvodima ili radovima koji su u skladu s propisanom kakvoćom.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Investitor će (nadzorni inženjer) provoditi kontrolna ispitivanja u skladu s odredbama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OTU, ali i prema vlastitoj procjeni.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Izvođač je dužan u svakom trenutku omogućiti nadzornom inženjeru i/ili od njega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ovlaštenom tijelu provedbu kontrolnih ispitivanja, uključivo fizičko otkrivanje (skidanje)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prethodno pokrivenih slojeva ili konstrukcija.</w:t>
      </w:r>
    </w:p>
    <w:p w:rsidR="00013141" w:rsidRDefault="0001314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PROBNO OPTEREĆENJE</w:t>
      </w: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Konstrukcije koje se moraju probno opteretiti navedene su u PKOK-u. Probno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opterećenje provodi ovlašteno tijelo koja posjeduje prikladnu opremu, iskusne stručne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kadrove i odobrenje nadzornog inženjera.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Rezultate probnog opterećenja ovjerava nadzorni inženjer i oni su obvezni dio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dokumentacije za tehnički pregled.</w:t>
      </w:r>
    </w:p>
    <w:p w:rsidR="00013141" w:rsidRDefault="0001314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TROŠKOVI</w:t>
      </w: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Prethodna i tekuća ispitivanja provode se o trošku izvođača.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Kontrolna ispitivanja i probna opterećenja provode se o trošku investitora. Za probno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opterećenje izvođač o svom trošku osigurava potrebne skele, vozila s teretom, drugu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potrebnu opremu i pomoćnu radnu snagu.</w:t>
      </w:r>
    </w:p>
    <w:p w:rsidR="00013141" w:rsidRDefault="0001314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F45A24" w:rsidRDefault="00F45A24">
      <w:pPr>
        <w:rPr>
          <w:rFonts w:cstheme="minorHAnsi"/>
          <w:b/>
          <w:bCs/>
          <w:sz w:val="20"/>
        </w:rPr>
      </w:pPr>
      <w:r>
        <w:rPr>
          <w:rFonts w:cstheme="minorHAnsi"/>
          <w:b/>
          <w:bCs/>
          <w:sz w:val="20"/>
        </w:rPr>
        <w:br w:type="page"/>
      </w: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lastRenderedPageBreak/>
        <w:t>OBJEKTI NA GRADILIŠTU</w:t>
      </w: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OPĆENITO</w:t>
      </w: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Izvođač će osigurati i/ili postaviti na gradilištu zgrade i uređaje za svoje potrebe i potrebe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investitora na lokaciji koju odredi nadzorni inženjer, u skladu s projektom organizacije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građenja (POG).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Nakon što od nadzornog inženjera primi nalog za početak radova, izvođač će održavati i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servisirati sve postojeće zgrade i uređaje na gradilištu, i to za sve vrijeme trajanja nadzora</w:t>
      </w: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nad građevinskim radovima.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Zgrade i uređaji na gradilištu, za potrebe investitora, sastoje se od glavnog ureda,</w:t>
      </w: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laboratorija za kontrolna ispitivanja i zgrade za smještaj osoblja. Svi navedeni objekti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moraju imati svu potrebnu infrastrukturu kao što su struja, telefon, voda, pristupne ceste,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parkirališta, odvodnja, kanalizacija itd., ako ugovorom o građenju nije drugačije</w:t>
      </w: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određeno.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Nakon što je ugovor ispunjen, sve zgrade i objekti na gradilištu, rađeni za potrebe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investitora, zajedno s namještajem, opremom i uređajima ostaju u vlasništvu investitora.</w:t>
      </w:r>
    </w:p>
    <w:p w:rsidR="00013141" w:rsidRDefault="0001314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MATERIJALI</w:t>
      </w: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Svi upotrijebljeni materijali bit će oni koji su specificirani u POG-u, nacrtima i oni koje</w:t>
      </w:r>
      <w:r w:rsidR="0016680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će odobriti nadzorni inženjer.</w:t>
      </w:r>
    </w:p>
    <w:p w:rsidR="00013141" w:rsidRDefault="0001314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PRIPREMA</w:t>
      </w: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Izvođač će osigurati, postaviti ili izgraditi zgrade za svoje potrebe i potrebe investitora u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skladu s POG-om. Izvođač mora izvesti sva čišćenja, izravnavanja, zatrpavanja za ceste,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temelje zgrada, parkirališta i izvesti odgovarajuću kanalizaciju, odvodnju gradilišta prema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uputi i odobrenju investitora na zemljištu koje mu je dodijeljeno.</w:t>
      </w:r>
    </w:p>
    <w:p w:rsidR="00013141" w:rsidRDefault="0001314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ZGRADE NA GRADILIŠTU</w:t>
      </w: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Objekti, zgrade i barake na gradilištu moraju biti stabilne, uredne i svježe oličene s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uređenim okolišem. Sve boje i naliči moraju biti postojani i ne smiju pokazivati oštećenja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ili izblijedjeti za vrijeme izgradnje.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Nadzornom inženjeru treba dostaviti popis vrsta boja i naliča na odobrenje prije početka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radova.</w:t>
      </w:r>
    </w:p>
    <w:p w:rsidR="00013141" w:rsidRDefault="0001314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PRISTUPNE CESTE I PARKIRALIŠTA</w:t>
      </w: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Postojeće pristupne ceste i parkirališta trebaju biti izvedeni prema POG-u, uputama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nadzornog inženjera ili zahtjevima iz ugovora.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Pristupne ceste i parkirališta moraju se redovno održavati. Poslove održavanja obavlja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izvođač. Troškovi održavanja su uključeni u ukupnoj cijeni građenja, ako ugovorom o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građenju nije drugačije određeno.</w:t>
      </w:r>
    </w:p>
    <w:p w:rsidR="00013141" w:rsidRDefault="0001314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KOMUNALNI PRIKLJUČCI</w:t>
      </w: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Struja</w:t>
      </w: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Struja je izmjenična 220/240 V. Isporučuje se tijekom 24 sata dnevno i mora biti takva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da zadovolji zahtjeve i potrebe sve opreme i uređaja. U pravilu se osigurava priključak na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vanjsku javnu mrežu, a ako to nije moguće izvođač će osigurati vlastiti izvor.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Izvođač je odgovoran za održavanje sve postojeće električne mreže, uključivo generatore,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razdjelne ploče, prekidače, ventilatore i klimatizacijske uređaje.</w:t>
      </w:r>
    </w:p>
    <w:p w:rsidR="00013141" w:rsidRDefault="0001314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013141" w:rsidRDefault="0001314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Pitka voda, razvod i vodoinstalaterski radovi</w:t>
      </w: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Izvođač će održavati postojeći centralni spremnik vode i dovod pitke vode tijekom 24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sata u sve objekte na gradilištu. Tu je također obuhvaćeno održavanje razvoda od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centralnog spremnika do svih objekata na gradilištu, sanitarnog cjevovoda, spremnika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hladne vode u objektima, uređaja i pribora, itd.</w:t>
      </w:r>
    </w:p>
    <w:p w:rsidR="00013141" w:rsidRDefault="0001314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F45A24" w:rsidRDefault="00F45A24">
      <w:pPr>
        <w:rPr>
          <w:rFonts w:cstheme="minorHAnsi"/>
          <w:b/>
          <w:bCs/>
          <w:sz w:val="20"/>
        </w:rPr>
      </w:pPr>
      <w:r>
        <w:rPr>
          <w:rFonts w:cstheme="minorHAnsi"/>
          <w:b/>
          <w:bCs/>
          <w:sz w:val="20"/>
        </w:rPr>
        <w:br w:type="page"/>
      </w: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lastRenderedPageBreak/>
        <w:t>Kanalizacija</w:t>
      </w: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Kanalizaciju u obliku septičkih jama i odgovarajući cjevovod održava izvođač tako da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budu u dobrom i funkcionalnom stanju.</w:t>
      </w:r>
    </w:p>
    <w:p w:rsidR="00013141" w:rsidRDefault="0001314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Namještaj i dodatna oprema</w:t>
      </w:r>
    </w:p>
    <w:p w:rsidR="009D1CDC" w:rsidRPr="00013141" w:rsidRDefault="009D1CDC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Isporučit će se i montirati namještaj i dodatna oprema ili uređaji koji su navedeni u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troškovniku i odobreni od nadzornog inženjera.</w:t>
      </w:r>
    </w:p>
    <w:p w:rsidR="00013141" w:rsidRDefault="00013141" w:rsidP="004363BC">
      <w:pPr>
        <w:spacing w:line="276" w:lineRule="auto"/>
        <w:rPr>
          <w:rFonts w:cstheme="minorHAnsi"/>
          <w:b/>
          <w:bCs/>
          <w:sz w:val="20"/>
        </w:rPr>
      </w:pPr>
    </w:p>
    <w:p w:rsidR="009D1CDC" w:rsidRPr="00013141" w:rsidRDefault="009D1CDC" w:rsidP="004363BC">
      <w:pPr>
        <w:spacing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SVAKODNEVNO ČIŠĆENJE I ČUVANJE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Izvođač će osigurati svakodnevno čišćenje svih objekata na gradilištu.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Izvođač će organizirati čuvarsku službu 24 sata dnevno u skladu sa Zakonom o gradnji.</w:t>
      </w:r>
    </w:p>
    <w:p w:rsidR="00013141" w:rsidRDefault="0001314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ODRŽAVANJE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Izvođač održava sve postojeće objekte, zgrade i uređaje. Izvođač osigurava svu potrebnu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radnu snagu, materijale, dijelove i zamjenu za sve uređaje i opremu.</w:t>
      </w:r>
    </w:p>
    <w:p w:rsidR="00013141" w:rsidRDefault="0001314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Obračun radova i plaćanje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Izrada, nabava, postava i održavanje zgrada, objekata, opreme, uređaja, vozila i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infrastrukture za potrebe gradilišta, nadzornih inženjera ili investitora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uračunani su u ukupnu cijenu građenja i neće se posebno obračunavati i plaćati, osim ako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ugovorom nije drugačije određeno.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Moguća zamjena materijala, uključujući namještaj, uređaje, računalni hardware, te vodu,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struju, svu radnu snagu, alat i opremu, plaćanje lokalnim institucijama te režijski i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nepredviđeni troškovi, također su trošak izvođača i uključeni su u ukupnu cijenu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građenja, ako ugovorom nije drukčije određeno.</w:t>
      </w:r>
    </w:p>
    <w:p w:rsidR="00013141" w:rsidRDefault="0001314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GEODETSKA I LABORATORIJSKA OPREMA I POTREBNA RADNA SNAGA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GEODETSKA OPREMA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U roku mjesec dana nakon primitka naloga nadzornog inženjera za početak radova,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izvođač će dostaviti popis geodetske opreme koju će koristiti za svoje potrebe.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Izvođač će osigurati potrebne pomoćne radnike za svoje potrebe i potrebe nadzornog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inženjera.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Nadzorni inženjer će osigurati geodetsku opremu za potrebe kontrolnih geodetskih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mjerenja.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LABORATORIJSKA OPREMA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U roku mjesec dana nakon primitka naloga nadzornog inženjera i odobrenog popisa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laboratorijske opreme za početak radova, izvođač će osigurati laboratorijsku opremu za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vlastita ispitivanja materijala, proizvoda i radova.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Izvođač koji nema vlastiti ovlašteni laboratorij može ugovorno angažirati odgovarajući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ovlašteni laboratorij na svoj trošak uz prethodno odobrenje nadzornog inženjera.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Nadzorni inženjer će osigurati potrebnu laboratorijsku opremu za provedbu kontrolnih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ispitivanja.</w:t>
      </w:r>
    </w:p>
    <w:p w:rsidR="00013141" w:rsidRDefault="0001314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OSIGURANJE POMOĆNE RADNE SNAGE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Izvođač će osigurati pomoćnu radnu snagu kao pomoć nadzornom inženjeru za kontrolna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ispitivanja materijala, proizvoda, radova i geodetskih mjerenja za sve vrijeme trajanja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ugovora, privremeno ili stalno bez posebne naplate.</w:t>
      </w:r>
    </w:p>
    <w:p w:rsidR="00013141" w:rsidRDefault="0001314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ODRŽAVANJE GEODETSKE I LABORATORIJSKE OPREME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Izvođač će svoju laboratorijsku i geodetsku opremu održavati, uključujući redovito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servisiranje i kalibriranje gdje je to potrebno.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Za servisiranje i kalibriranje laboratorijske i geodetske opreme za kontrolna ispitivanja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odgovoran je nadzorni inženjer.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lastRenderedPageBreak/>
        <w:t>Ako je zbog kvara oprema izvan funkcije ili nije kalibrirana u propisanom roku, treba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zamijeniti tijekom 24 sata ili obustaviti izvođenje radova koji se kontroliraju predmetnom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opremom.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PRIVREMENI PROMETNI ZNAKOVI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Opis rada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U svrhu sigurnog i neometanog odvijanja prometa na mjestima pristupa gradilištu,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gradilištem i svim pogonima koji se koriste u izvođenju radova, u okolici na koju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gradilište u prometnom smislu utječe, na raskrižjima s ostalim prometnicama te prometa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skrenutog zbog izvođenja radova na građevini, izvođač će poduzeti potpune i dovoljne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mjere i radnje.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Izrada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Izvođač je dužan postaviti i održavati na gradilištu i na svim propisanim mjestima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prometne znakove u potrebnom broju, obliku i s tehničkim obilježjima u skladu sa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napredovanjem radova i zahtjevima zakonom mjerodavnih institucija.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U pravilu bi trebali, vozila i strojevi ulaziti na gradilište i izlaziti iz njega u smjeru vožnje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prema naprijed.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Gdje je to potrebno za vrijeme izvođenja radova, izvođač je dužan nabaviti i održavati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privremenu rasvjetu za ceste. Privremena rasvjeta mora pružati istu razinu svjetla kao i</w:t>
      </w:r>
      <w:r w:rsidR="000E11D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javna rasvjeta koju zamjenjuje. Privremena rasvjeta mora se nabaviti i odobriti prije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uklanjanja postojeće javne rasvjete.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Samo gradilište, odnosno iskopi i prekopi bit će označeni i osvijetljeni uz prethodno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odobrenje nadzornog inženjera.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Obračun radova i plaćanje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Radovi se posebno ne obračunavaju i ne plaćaju već su uključeni u ukupnu cijenu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građenja.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KONTROLA PROMETA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Opis rada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U slučaju da radovi zahtijevaju posebnu regulaciju prometa, kao npr. raskrižje s drugim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prometnicama, izgradnja na polovini širine, naizmjenično odvijanje jednosmjernog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prometa itd., na određenoj duljini građevine ili na prilazima građevini odnosno gradilištu,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a po odobrenju nadzornog inženjera, izvođač će osigurati sigurno odvijanje prometa uz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osiguranje potrebne kontrole.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Izrada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Izvođač je dužan, ako to radovi na građevini zahtijevaju, održavati siguran protok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prometa u širini od najmanje 3 m za jednosmjerni promet. Na zahtjev nadzornog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inženjera omogućit će svjetlosnu prometnu signalizaciju za kontrolu prometa na dotičnoj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dionici kao i sve dodatne potrebne prometne znakove, a u broju, obliku i tehničkim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obilježjima u skladu sa zahtjevima zakonom mjerodavnih institucija.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Svjetlosni prometni znakovi (semafori) bit će automatski, ali se na zahtjev ili po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odobrenju nadzornog inženjera njima može rukovati ručno. Izvođač je dužan osigurati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sve što je potrebno za hitno servisiranje svjetlosnih prometnih znakova u svako doba.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Najmanje 14 dana prije uspostave jednosmjernog prometa izvođač je dužan nadzornom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inženjeru dostaviti pisanu obavijest na odobrenje.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U slučaju izvođenja radova na javnim cestama, izvođač je dužan pribaviti suglasnost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zakonom mjerodavnih institucija i po potrebi osigurati regulaciju prometa od strane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Ministarstva unutarnjih poslova.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Obračun radova i plaćanje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Radovi se posebno ne obračunavaju i ne plaćaju već su uključeni u ukupnu cijenu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građenja.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F45A24" w:rsidRDefault="00F45A24">
      <w:pPr>
        <w:rPr>
          <w:rFonts w:cstheme="minorHAnsi"/>
          <w:b/>
          <w:bCs/>
          <w:sz w:val="20"/>
        </w:rPr>
      </w:pPr>
      <w:r>
        <w:rPr>
          <w:rFonts w:cstheme="minorHAnsi"/>
          <w:b/>
          <w:bCs/>
          <w:sz w:val="20"/>
        </w:rPr>
        <w:br w:type="page"/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lastRenderedPageBreak/>
        <w:t>ODRŽAVANJE POSTOJEĆIH CESTA, PJEŠAČKIH I BICIKLISTIČKIH STAZA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Opis rada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Odmah po preuzimanju gradilišta, obveza izvođača postaje održavanje postojećih cesta,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pješačkih i biciklističkih staza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priključenih gradilištu.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Izrada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Prije početka izvođenja radova izvođač mora obaviti pregled stanja svih cesta, nogostupa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 biciklističkih staza priključenih gradilištu. Nalazi pregleda moraju biti dostupni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nadzornom inženjeru.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Tamo gdje su u ugovoru definirane prilazne ceste, izvođač ne smije bez odobrenja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nadzornog inženjera koristiti druge.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Izvođač je dužan osigurati održavanje postojećih cesta, pješačkih i biciklističkih staza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koje se koriste kao pristupni putovi na gradilište, odnosno na koje u bilo kojem smislu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negativno utječe izvođenje radova na građevini.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Dužnost je izvođača na dotičnim prometnicama osigurati siguran promet, odnosno stalno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uklanjati sva moguća oštećenja kojima bi se na bilo koji način ugrozili ljudi ili prometala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te utjecalo na bitne zahtjeve na postojeće prometnice.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Sve ceste kojima prolaze vozila izvođača, podizvođača i nabavljača u gradnji moraju se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dnevno održavati čistima, bez blata, zemljanog ili drugog materijala od izvođenja radova.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Ako drugačije ne stoji u ugovoru, izvođač mora nabaviti, održavati i upotrebljavati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odgovarajuću opremu, uključujući mehaničke čistače za ceste tijekom trajanja radova na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mjestima i na način dogovoren s nadležnom upravom za ceste. Izvođač mora nabaviti,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održavati i koristiti mehaničke perilice na kotačima i visokotlačne uređaje za pranje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pomoću crijeva na gradilištu i dodatnim lokacijama, shodno zahtjevu nadležne uprave za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ceste.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Svaki dio javne ceste koji je zatvoren zbog radova ne smije se ponovno otvoriti za promet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dok se ne poduzmu odgovarajuće sigurnosne i prometne mjere i dok nadzorni inženjer ne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potvrdi da je cesta u stanju prikladnom za javno korištenje.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Izvođač će po završetku radova na gradilištu sve ceste, nogostupe i biciklističke staze,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uključivo i sve dijelove sustava površinske odvodnje, vratiti u stanje barem kakvo je bilo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prije početka radova.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Izvođač je dužan osigurati redovite preglede dotičnih prometnica, te na zahtjev nadzornog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inženjera, ako je to potrebno, postaviti privremeni zastor debljine po uputi nadzornog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inženjera.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Izvođač je dužan neprestano održavati pristup za vatrogasne službe, hitnu pomoć i ostale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hitne službe te s njima održavati vezu u tom smislu.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Izvođač mora neprestano održavati pristup za ovlaštene predstavnike komunalnih službi i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dopustiti izvedbu hitnih zahvata na bilo kojem od komunalnih ili uslužnih objekata unutar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gradilišta.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Izvođač ne smije koristiti javna ili privatna prava prolaza za odlaganje ili skladištenje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pogona ili materijala. Izvođač mora neprestano održavati dijelove javnih ili privatnih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eksproprijacijskih područja koja se trenutno ne koriste za izvođenje radova u čistom,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prohodnom i sigurnom stanju.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Pri izvođenju radova izvođač mora voditi računa o tome da je neprestano na sve posjede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omogućen siguran pristup pješacima, uključujući invalide. Metode gradnje i program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radova ne smiju priječiti pristup vozila posjedima.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Sve mjere za sigurnost i vođenje prometa uvjetovane radovima moraju biti u potpunoj</w:t>
      </w:r>
      <w:r w:rsidR="00013141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funkciji prije nego izvođač započne bilo kakve radove koji zahvaćaju javnu cestu.</w:t>
      </w:r>
    </w:p>
    <w:p w:rsidR="00B70FB4" w:rsidRDefault="00B70FB4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Obračun radova i plaćanje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Radovi se posebno ne obračunavaju i ne plaćaju već su ukljućeni u ukupnu cijenu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građenja.</w:t>
      </w:r>
    </w:p>
    <w:p w:rsidR="00B70FB4" w:rsidRDefault="00B70FB4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PRIVREMENO SKRETANJE PROMETA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Opis rada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lastRenderedPageBreak/>
        <w:t>Privremeno skretanje prometa bit će izvedeno na mjestima gdje građevina ili gradilište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presijeca postojeće ceste, postojeća raskrižja, pješačke ili biciklističke staze, odnosno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njihove dijelove, a zbog sigurnosti ili opsega radova nije moguće uspostaviti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zadovoljavajuće odvijanje prometa.</w:t>
      </w:r>
    </w:p>
    <w:p w:rsidR="00B70FB4" w:rsidRDefault="00B70FB4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Izrada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U slučaju da građevina utječe na odvijanje prometa u širem pojasu i na veći broj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međusobno povezanih postojećih cesta, kao i u slučaju da se radi o magistralnim ili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cestama višeg ranga, investitor je dužan osigurati izradu projekta privremene regulacije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prometa i ishoditi sve potrebne suglasnosti mjerodavnih institucija.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U ostalim slučajevima izvođač je dužan za privremeno skretanje prometa na javnim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cestama ishoditi sve potrebne suglasnosti mjerodavnih institucija.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 mjestima gdje je projektom predviđeno presijecanje postojećih nerazvrstanih cesta te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pristupa susjednim objektima, izvođač je dužan osigurati alternativna rješenja i samo uz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pisano odobrenje nadzornog inženjera.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Pisana obavijest i prijedlog rješenja dostavit će se nadzornom inženjeru 14 dana unaprijed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radi njegova odobrenja.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Izvođač je dužan kvalitetno, u skladu s kategorijom prometnice i uz primjenu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mjerodavnih standarda izvesti prometnice kojima će se privremeno odvijati promet, te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osigurati sigurno odvijanje prometa tijekom izvođenja radova. Po završetku radova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izvođač je dužan ukloniti privremene prometnice.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Svi radovi i radnje moraju biti u skladu sa Zakonom o gradnji, Zakonom o sigurnosti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prometa na cestama, Zakonom o javnim cestama te ostalim važećim zakonima 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propisima.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Obračun radova i plaćanje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Radovi se posebno ne obračunavaju i ne plaćaju već su uključeni u ukupnu cijenu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građenja.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KRIŽANJA S OSTALIM PROMETNICAMA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Opis rada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Na mjestima gdje građevina ili gradilište presijeca postojeće ceste, postojeća raskrižja,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pješačke ili biciklističke staze, odnosno njihove dijelove, izvođač ima obvezu osigurati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sigurno odvijanje prometa i radova.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Izrada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Na mjestima gdje prema mišljenju nadzornog inženjera skretanje prometa nije moguće ili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potrebno, radovi će se izvoditi uz istodobno odvijanje prometa po postojećim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prometnicama koje su presječene gradilištem. Izvođač je dužan ishoditi potrebne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suglasnosti mjerodavnih institucija i osigurati sigurno odvijanje prometa kao i sigurnost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zaposlenih na gradilištu.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Područje na kojem se izvode radovi mora fizički biti odvojeno od područja na kojem se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odvija promet.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Pismena obavijest i prijedlog rješenja dostavit će se nadzornom inženjeru 14 dana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unaprijed.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Obračun radova i plaćanje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Radovi se posebno ne obračunavaju i ne plaćaju već su uključeni u ukupnu cijenu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građenja.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IZGRADNJA NA POLOVICI ŠIRINE KOLNIKA CESTE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Opis rada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Tamo gdje prema mišljenju nadzornog inženjera nije moguće skretanje prometa, radovi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će se na postojećim javnim cestama izvoditi samo na polovici širine ceste.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Izrada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lastRenderedPageBreak/>
        <w:t>Izvođenje radova na polovici širine kolnika treba biti što je moguće vremenski kraće uz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primjenu svih mjera sigurnosti i zaštite.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Na objektima gdje se izvode radovi na polovici širine kolnika, radovi se moraju dovršiti,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a nasipi uz njih moraju biti napravljeni tako da na najmanje polovici pune širine kolnika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je moguće odvijanje prometa prije početka rada na drugoj polovici.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Područje na kojem se izvode radovi mora fizički biti odvojeno od područja na kojem se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odvija promet.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Pismena obavijest i prijedlog rješenja dostavit će se nadzornom inženjeru 14 dana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unaprijed.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Obračun radova i plaćanje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Radovi se posebno ne obračunavaju i ne plaćaju već su uključeni u ukupnu cijenu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građenja.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PRIVREMENE GRAĐEVINE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Opis rada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Izvođač snosi odgovornost za projekt, specifikacije, izvođenje i kasnije uklanjanje svih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privremenih građevina koje su potrebne za dovršenje građevine.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Izrada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Prije započinjanja radova na bilo kojem dijelu privremene građevine, izvođač je dužan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nadzornom inženjeru dostaviti projekt sa svim nacrtima i, ako se to traži, potrebnim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proračunima za dotični dio privremene građevine. Na mjestima gdje privremena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građevina neposredno dodiruje bilo koji dio stalne građevine, nacrti i proračuni moraju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jasno prikazati odnos, ilustrirati redoslijed montaže i prikazati opterećenja i naprezanja na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stalnu građevinu ili sa stalne građevine.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Traženi projekt dostavit će se nadzornom inženjeru u razumnom roku prije namjeravanog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početka postavljanja ili izrade privremene građevine. U roku mora biti predviđeno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vrijeme potrebno za dostavu prijedloga za privremene građevine, reviziju i moguće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promjene od strane nadzornog inženjera, ponovnu dostavu i daljnju reviziju od strane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nadzornog inženjera, sve dok nadzorni inženjer ne odobri projekt privremene građevine.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Dostava nacrta i proračuna u sklopu projekta privremene građevine nadzornom inženjeru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ne oslobađa izvođača odgovornosti ili obveze prema ugovoru u vezi s izvođenjem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privremenih građevina.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Obračun radova i plaćanje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Troškovi privremenih građevina smatrat će se, osim tamo gdje je to u ugovoru izričito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navedeno, uključenima u cijenu radova na stalnoj građevini i neće se dodatno plaćati za te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radove.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ODRŽAVANJE I ZAŠTITA PROMETA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Izvođač je dužan održavati otvorenim za promet sve postojeće ceste tijekom izvođenja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radova, odnosno da prema važećim zakonskim odredbama i propisima skrene promet na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obilaznicu.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Izvođač će voditi brigu o tome da je u svakom trenutku osigurana sigurnost i udobnost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stanara uz gradilište.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Svaki propust izvođača da obavi te radove ovlastit će nadzornog inženjera da ih izvede na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teret izvođača u punom iznosu, a taj će se iznos odbiti od iznosa koji dospijevaju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izvođaču prema ugovoru.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Obračun rada i plaćanje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Radovi se posebno ne obračunavaju i ne plaćaju već su uključeni u ukupnu cijenu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građenja.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ISKOLČENJE TRASE I OBJEKATA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Opis rada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Iskolčenje trase i objekata obuhvaća sva geodetska mjerenja, kojima se podaci iz projekta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prenose na teren ili s terena u projekte, osiguranje osi iskolčene trase, profiliranje,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 xml:space="preserve">obnavljanje i održavanje iskolčenih oznaka na terenu za sve vrijeme </w:t>
      </w:r>
      <w:r w:rsidRPr="00013141">
        <w:rPr>
          <w:rFonts w:cstheme="minorHAnsi"/>
          <w:sz w:val="20"/>
        </w:rPr>
        <w:lastRenderedPageBreak/>
        <w:t>građenja, odnosno do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predaje radova investitoru.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Izvođač iskolčuje os trase prema numeričkim podacima iz projekta (sredina ceste i /ili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rubovi kolnika, a kod autoceste po osi srednjeg pojasa ili po osi pojedinog kolnika) u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razmacima koji ovise o karakteristikama terena, a1i koji nisu veći od 50 m.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Poprečne profile iz projekta treba uskladiti s stvarnim stanjem na terenu, uz ovjeru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nadzornog inženjera.Na zahtjev izvođača radova mogu se usvojiti i dodati poprečni profili (međuprofili).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Priključci i odvojci iskolčuju se po rubu trakova za ubrzanje ili usporenje, odnosno po osi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priključaka i odvojaka.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Nadzorni inženjer predaje izvođaču na terenu poligonske točke operativnog poligona koje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su primjereno stabilizirane u skladu s terenom u kojem se nalaze. Poligonski vlak treba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vezati na trigonometrijsku mrežu, izračunanu u važećem koordinatnom sustavu državne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izmjere, s dopuštenim odstupanjima prema pravilniku za poligonsku mrežu 1. reda.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Nadzorni inženjer predaje izvođaču i visinske točke (repere) postavljene duž trase na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približnoj udaljenosti od 1000 m (kod autocesta na 500 m), kao i kod svakog većeg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objekta. Visinske točke moraju biti postavljene na čvrstom tlu, usječene u kamen ili u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neki drugi stabilni objekt i označene crvenom vodootpornom bojom.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Kod primopredaje trase investitor predaje izvođaču nacrte trase, i to: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a) Situaciju u mjerilu 1:1000 (1:2000 ili drugom) s ucrtanom osi, naznakom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elemenata trase i elemenata odvodnih objekata do recipijenta. U situaciji su također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ucrtana vezanja glavnih točaka trase na operativni poligon s potrebnim podacima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za iskolčenje;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b) Račun glavnih točaka, odnosno pri elektroničkom računanju koordinate glavnih 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detalnjih točaka osi i profila sa stacionažom, duljinama prijelaznica, kružnih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lukova, koordinate centra kružnih lukova, duljinama tangenata do tjemena s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odgovarajućim smjernim kutevima;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c) Popis poligonskih točaka - odnosno tjemena s koordinatama i položajnim opisima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tih točaka;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d) Popis visinskih točaka - repera, s visinama i položajnim opisima repera;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e) Skicu položaja poligonskih (i trigonometrijskih) i visinskih točaka;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</w:p>
    <w:p w:rsidR="00DF79A8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f) Račune kota kolnika najmanje na položaju svakog poprečnog profila trase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definiranog u projektu, s niveletom, stacionažama početka sredine i kraja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vertikalnih zaobljenja, polumjerima zaobljenja, uzdužnim nagibima, podacima o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počecima i krajevima vitoperenja i proširenja kolnika s odgovarajućim poprečnim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nagibima kolnika.</w:t>
      </w:r>
    </w:p>
    <w:p w:rsidR="000E11D1" w:rsidRPr="0001314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Za objekte koji se premještaju zbog građenja ceste, kao što su devijacije cesta manjega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značenja, regulacije potoka i slično, mogu se primjenjivati i druge geodetske metode,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prilagođene vrsti objekta i terena, pod uvjetom da izvođač može obaviti radove prema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projektu i ovim Općim tehničkim uvjetima.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Za potrebe građenja većih objekata investitor će izvođaču predati prethodno izrađene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posebne elaborate geodetske osnove za iskolčenje takvih objekata. To se odnosi na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tunele, vijadukte i mostove, odnosno na sve objekte gdje se moraju primijeniti povećane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točnosti iskolčenja, radi sigurnosti i troškova građenja (proboji tunela duljih od 200 m,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vijadukti, mostovi, nadvožnjaci i podvožnjaci koji se izvode montiranjem predgotovljenih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nosača, mostovi temeljeni na pilotima, dulji montažni potporni zidovi i slično).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Nadzorni inženjer će posebno pratiti geodetske radove koje izvodi izvođač radova ovih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objekata.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OSIGURANJE ISKOLČENE OSI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lastRenderedPageBreak/>
        <w:t>Izvodač je dužan osigurati svoja iskolčenja na odgovarajući način, za sve vrijeme gradnje.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Osiguranja točaka moraju biti na dovoljnoj udaljenosti od ruba nasipa ili usjeka 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zaštićena tako da ih se sačuva do kraja građenja. Osiguranja točaka moraju biti i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dvostruko nivelirana.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Osim osi trase, izvođač je dužan osigurati i poligonske točke i repere na isti ili sličan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način kao os trase.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Za vrijeme osiguranja točaka izvođač mora voditi zapisnik i skicu osiguranja, a nakon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toga treba izraditi nacrt osiguranja. Jedan primjerak nacrta osiguranja izvođač predaje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nadzornom inženjeru na uvid radi kontrole ispravnosti postupka.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SNIMANJE I OSIGURANJE PROFILA CESTE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Prije početka zemljanih radova izvođač mora postaviti profile ceste prema projektiranim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poprečnim profilima. Mjesta u poprečnom profilu gdje profil ceste siječe teren treba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odrediti računskim putem . Profili ceste postavljaju se ovisno o terenskim uvjetima, radovima (usjek, nasip, zidovi) 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načinu rada na razmaku od 5 do 50 metara. Nadzorni inženjer može tražiti postavljanje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dodatnih međuprofila. Kod nagnutih terena iskolčava se profil bez humusnog sloja i bez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vertikalnog zaobljenja kod vrha pokosa usjeka ili pri nožici nasipa.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Ako nije zadovoljan s poprečnim profilima terena iz glavnog projekta, izvođač ih ima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pravo ponovno snimiti nivelmanski ili tahimetrijski i prikazati u mjerilu 1:100, odnosno u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mjerilu kao u projektu. Na moguće razlike izvođač upozorava nadzornog inženjera radi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dobivanja potvrde i suglasnosti. Ako je morfologija terena između poprečnih profila iz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glavnog projekta takva da bi to znatno utjecalo na količine radova, izvođač i nadzorni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inženjer imaju pravo tražiti snimanje međuprofila. Utvrđene razlike treba potvrditi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nadzorni inženjer.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Bez pisane potvrde nadzornog inženjera ne mogu se priznati nikakve izmjene u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poprečnim profilima u odnosu na glavni projekt.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ISKOLČENJE OBJEKATA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Izvođač je dužan na osnovi podataka o iskolčenju iskolčiti sve objekte, ali mora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prethodno predložiti nadzornom inženjeru nacrt iskolčenja temelja, nacrt osiguranja osi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objekta i prenesene visinske točke upisom u građevni dnevnik.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Izvođač ne smije započeti s radovima prije nego što dobije suglasnost nadzornog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inženjera na ovu dokumentaciju. Nadzorni inženjer u roku tri dana mora dati ovu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suglasnost ili mora iznijeti u građevnom dnevniku zahtjeve koje izvođač još treba ispuniti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za dobivanje suglasnosti.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Postavljanje poprečnih profila, osiguranje osi objekta i kontrola za vrijeme građenja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izvođač je dužan provoditi analogno navedenim poslovima za trasu, prilagođeno potrebi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gradnje objekata.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KONTROLA ZA VRIJEME GRAĐENJA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Izvođač radova dužan je za vrijeme građenja stalno održavati iskolčenu os trase,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osiguranje svih točaka, postavljenih profila ceste, repera i poligonskih točaka.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Ako za vrijeme rada dođe do nestanka ili oštećenja pojedinih točaka, izvođač ih je dužan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obnoviti o svom trošku.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Ako se projekt promijeni, izvođač mora te promjene provesti i na terenu. Promjene se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moraju provesti i na osiguranju osi trase i drugih točaka, te na postavljenim profilima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ceste. Naposljetku, sve se promjene moraju ucrtati u nacrt osiguranja osi trase.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Sve podatke o iskolčenju, koji su u vezi s promjenom projekta, izvođač je dužan dostaviti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nadzornom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inženjeru. Nakon završetka građenja planuma posteljice, izvođač je dužan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obnoviti os trase (položajno i visinski) na osnovi nacrta iskolčenja i osiguranja osi trase,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visinskih i poligonskih točaka.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Os trase treba visinski i položajno obnoviti i prije izrade vezanih nosivih slojeva kolničke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konstrukcije.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Iskolčenje objekata treba neprestano nadzirati i po potrebi obnavljati.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UKLANJANJE GRMLJA I DRVEĆA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Opis rada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lastRenderedPageBreak/>
        <w:t>Ovaj rad obuhvaća sječenje šiblja i stabala svih dimenzija, odsijecanje granja, rezanje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stabala i debelih grana na dužine pogodne za prijevoz, vađenje korijenja, šiblja te starih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panjeva i panjeva novo posiječenih stabala, zatim odnošenje šiblja, granja, trupaca i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panjeva izvan profila ceste na odlagalište koje odredi nadzorni inženjer. Površine koje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treba očistiti od šiblja, drveća i panjeva označene su u nacrtima ili ih određuje nadzorni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inženjer prije početka rada.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Čišćenje obuhvaća i uklanjanje svega nepotrebnog materijala zaostalog nakon tih radova.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Grmlje, stabla i panjeve treba ukloniti na svim površinama predviđenima u projektu, kao i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na mjestima koja odredi nadzorni inženjer.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Izvođač mora rušiti stabla uz punu primjenu higijensko-tehničkih zaštitnih mjera i bez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nanošenja štete susjednim objektima, posjedima uz trasu i imovini uopće. Rušenjem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stabala ne smiju se oštetiti stabla koja nisu predviđena za rušenje.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 površinama iskopanim za profil ceste treba izvaditi sve panjeve i korijenje do ovih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dubina: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a) na zaobljenim površinama zasjeka - do površine zaobljenja,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b) ispod nasipa - na najmanje 0,20 m ispod planuma temeljnog tla,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c) ispod kolničke konstrukcije koja dolazi neposredno na temeljno tlo na najmanje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0,50 m ispod planuma temeljnog tla (planuma posteljice).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Posječena stabla i panjeve treba odlagati uz trasu na mjestima pristupačnim za odvoz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stabala i gdje ona neće smetati radovima. Udubine od izvađenih panjeva na temeljnom tlu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treba ispuniti istim materijalom kakav je na o</w:t>
      </w:r>
      <w:r w:rsidR="00B70FB4">
        <w:rPr>
          <w:rFonts w:cstheme="minorHAnsi"/>
          <w:sz w:val="20"/>
        </w:rPr>
        <w:t xml:space="preserve">kolnom temeljnom tlu te izvesti </w:t>
      </w:r>
      <w:r w:rsidRPr="00013141">
        <w:rPr>
          <w:rFonts w:cstheme="minorHAnsi"/>
          <w:sz w:val="20"/>
        </w:rPr>
        <w:t>zbijanje do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propisane zbijenosti.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Obračun rada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 xml:space="preserve">Uklanjanje grmlja i šiblja (do </w:t>
      </w:r>
      <w:r w:rsidRPr="00013141">
        <w:rPr>
          <w:rFonts w:cstheme="minorHAnsi"/>
          <w:szCs w:val="24"/>
        </w:rPr>
        <w:t>Ø 10 cm</w:t>
      </w:r>
      <w:r w:rsidRPr="00013141">
        <w:rPr>
          <w:rFonts w:cstheme="minorHAnsi"/>
          <w:sz w:val="20"/>
        </w:rPr>
        <w:t>) obračunava se po četvornom metru očišćene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zarasle površine.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Uklanjanje drveća i panjeva obračunava se po komadu, uzimajući u obzir debljinu (profil)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stabla (mjereno na visini 1 m od zemlje):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Cs w:val="24"/>
        </w:rPr>
      </w:pPr>
      <w:r w:rsidRPr="00013141">
        <w:rPr>
          <w:rFonts w:cstheme="minorHAnsi"/>
          <w:sz w:val="20"/>
        </w:rPr>
        <w:t xml:space="preserve">• </w:t>
      </w:r>
      <w:r w:rsidRPr="00013141">
        <w:rPr>
          <w:rFonts w:cstheme="minorHAnsi"/>
          <w:szCs w:val="24"/>
        </w:rPr>
        <w:t>Ø 10-30 cm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Cs w:val="24"/>
        </w:rPr>
      </w:pPr>
      <w:r w:rsidRPr="00013141">
        <w:rPr>
          <w:rFonts w:cstheme="minorHAnsi"/>
          <w:sz w:val="20"/>
        </w:rPr>
        <w:t xml:space="preserve">• </w:t>
      </w:r>
      <w:r w:rsidRPr="00013141">
        <w:rPr>
          <w:rFonts w:cstheme="minorHAnsi"/>
          <w:szCs w:val="24"/>
        </w:rPr>
        <w:t>Ø većega od 30 cm.</w:t>
      </w:r>
    </w:p>
    <w:p w:rsidR="000E11D1" w:rsidRDefault="000E11D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UKLANJANJE UMJETNIH OBJEKTA, PROMETNIH ZNAKOVA,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REKLAMNIH PLOČA I SLIČNO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Opis rada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Ovaj rad obuhvaća vađenje i demontiranje prometnih znakova, reklamnih ploča i ostale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prometne opreme (kolobrani i odbojnici), rušenje zidova, rušenje postojećih kolničkih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konstrukcija i postojećih propusta, uklanjanje rubnjaka, rušenje i/ili premještanje žičanih,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drvenih i kamenih ograda, skidanje i premještanje starih ili izradu i postavljanje novih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ulaza (vrata), rušenje napuštenih i dotrajalih zgrada i drugih objekata od kojih se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materijal, osim za izradu nasipa, ne može upotrijebiti i za druge namjene.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Vrste i količine opisanih radova predviđene su projektom ili ih određuje nadzorni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inženjer.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U ovaj rad ne ulazi uklanjanje i premještanje komunalnih instalacija kao što su nadzemni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 podzemni vodovi električne energije, plinovodi, naftovodi, telefonski vodovi, toplovodi,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vodovodi, kanalizacija i druge instalacije koje treba ukloniti ili premjestiti.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Rad obuhvaća uklanjanje i drugih dijelova tih naprava, kao temelji ili dijelovi objekata iz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masivnog materijala, koje je potrebno porušiti nakon uklanjanja ili premještanja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navedenih vodova i objekata.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Izrada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Vađenje i demontiranje prometnih znakova, reklamnih ploča, čeličnih odbojnika,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kolobrana i druge prometne opreme na cesti treba obaviti tako da se svi sastavni dijelovi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sačuvaju neoštećeni i da ih je moguće opet upotrijebiti.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Prije demontiranja nadzorni će inženjer dati izvođaču upute o tome koje dijelove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prometnih znakova, reklamnih ploča i druge prometne opreme treba sačuvati, gdje ih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treba uskladištiti i kako ih zaštititi od propadanja. Nadzorni će inženjer pravodobno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obavijestiti vlasnike reklamnih ploča o mjestu i vremenu demontiranja ploča. Izvođač je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dužan čuvati ispravne dijelove prometne opreme i reklamnih ploča dok ih ne preuzme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investitor ili vlasnik.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 xml:space="preserve">Umjetne objekte, zidove i </w:t>
      </w:r>
      <w:r w:rsidRPr="00013141">
        <w:rPr>
          <w:rFonts w:cstheme="minorHAnsi"/>
          <w:sz w:val="20"/>
        </w:rPr>
        <w:lastRenderedPageBreak/>
        <w:t>ostale naprave treba rušiti i uklanjati uz primjenu zaštitnih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mjera prema važećim propisima te tako da se ne izazove šteta na susjednim objektima 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posjedima kao i na postojećoj cesti.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Postojeće kolničke konstrukcije treba rušiti tako da teren nakon rušenja bude sposoban za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funkcionalnu upotrebu, koja se predviđa projektom, odnosno odredbom nadzornog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inženjera.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Postojeće ograde od žice, drveća, kamena ili betonskih i drugih elemenata, koje zadiru u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profil ceste, treba porušiti i premjestiti na granicu cestovnog pojasa.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Oštećene dijelove ograda i ulaza (vrata) treba popraviti, a uništene dijelove zamijeniti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novima.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Rušenje i uklanjanje postojećih propusta, uklanjanje rubnjaka, prometne opreme, rušenje 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premještanje ograda, rušenje dotrajalih zgrada, odstranjivanje odlagališta i drugih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objekata treba obaviti bez nanošenja štete na ostalim objektima i posjedima uz cestu.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Materijal od porušenih objekata treba odložiti na mjesto gdje neće smetati radovima 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gdje neće narušavati estetski izgled ceste i okolice, a prema odluci nadzornog inženjera.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Temelje ili dijelove objekata od masivnog materijala, koji se moraju rušiti zbog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premještanja komunalnih instalacija, treba ukloniti jednako pažljivo kao i ostale objekte u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cijelosti ili do minimalne dubine (prema položaju profila ceste i nivelete), prema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potpoglavlju 1-03.1.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Obračun rada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Radovi opisani u potpoglavlju 1-03.2 ne mjere se posebno, već su uključeni u jediničnu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cijenu drugih stavki, osim ako ugovorom nije drugačije određeno.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Ovi radovi ne plaćaju se posebno nego su uračunani u jediničnu cijenu za iskope ili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nasipe i time se smatra da je izvođač dobio punu naknadu za sve radove navedene u</w:t>
      </w:r>
      <w:r w:rsidR="00B70FB4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potpoglavlju 1-03.2, osim ako ugovorom nije drugačije određeno.</w:t>
      </w:r>
    </w:p>
    <w:p w:rsidR="00024D21" w:rsidRDefault="00024D2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UKLANJANJE ILI PREMJEŠTANJE POSTOJEĆIH KOMUNALNIH</w:t>
      </w:r>
      <w:r w:rsidR="00024D21">
        <w:rPr>
          <w:rFonts w:cstheme="minorHAnsi"/>
          <w:b/>
          <w:bCs/>
          <w:sz w:val="20"/>
        </w:rPr>
        <w:t xml:space="preserve"> </w:t>
      </w:r>
      <w:r w:rsidRPr="00013141">
        <w:rPr>
          <w:rFonts w:cstheme="minorHAnsi"/>
          <w:b/>
          <w:bCs/>
          <w:sz w:val="20"/>
        </w:rPr>
        <w:t>INSTALACIJA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Opis rada</w:t>
      </w:r>
    </w:p>
    <w:p w:rsidR="00CD17C9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sz w:val="20"/>
        </w:rPr>
        <w:t>Ovaj rad obuhvaća uklanjanje ili premještanje postojećih komunalnih i drugih instalacija,</w:t>
      </w:r>
      <w:r w:rsidR="00CD17C9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kao što su zračni i podzemni vodovi električne energije, plinovodi, naftovodi, telefonski</w:t>
      </w:r>
      <w:r w:rsidR="00CD17C9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vodovi, toplovodi, vodovodi, kanalizacija i drugo, osim uklanjanja temelja ili dijelova</w:t>
      </w:r>
      <w:r w:rsidR="00CD17C9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objekata postojećih instalacija od masivnog materijala, što je opisano u potpoglavlju 1-</w:t>
      </w:r>
      <w:r w:rsidR="00CD17C9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03.2.</w:t>
      </w:r>
      <w:r w:rsidR="00CD17C9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Svi radovi vezani uz uklanjanje ili premještanje postojećih komunalnih instalacija trebaju</w:t>
      </w:r>
      <w:r w:rsidR="00CD17C9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biti predviđeni u projektu. Ako nisu predviđeni, investitor će angažirati specijalizirane ili</w:t>
      </w:r>
      <w:r w:rsidR="00CD17C9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komunalne organizacije za izradu potrebne projektne dokumentacije.</w:t>
      </w:r>
      <w:r w:rsidRPr="00013141">
        <w:rPr>
          <w:rFonts w:cstheme="minorHAnsi"/>
          <w:b/>
          <w:bCs/>
          <w:sz w:val="20"/>
        </w:rPr>
        <w:t xml:space="preserve"> 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Izrada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Radove obavljaju specijalizirane organizacije prema posebnim projektima, propisima i</w:t>
      </w:r>
      <w:r w:rsidR="00CD17C9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tehničkim uvjetima za odgovarajuću vrstu radova.</w:t>
      </w:r>
      <w:r w:rsidR="00CD17C9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Nadzor nad radovima obavljaju nadzorni inženjeri ili osobe koje su ovlaštene za</w:t>
      </w:r>
      <w:r w:rsidR="00CD17C9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nadziranje i odobravanje obavljanja određenih vrsta poslova.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Obračun radova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Količine radova koje je obavila i izvela specijalizirana ili komunalna organizacija</w:t>
      </w:r>
      <w:r w:rsidR="00CD17C9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ovjerava nadzorni inženjer.</w:t>
      </w:r>
      <w:r w:rsidR="00CD17C9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Plaća se na osnovi ovjerenih količina obavljenih radova, prema troškovniku odgovarajuće</w:t>
      </w:r>
      <w:r w:rsidR="00CD17C9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specijalizirane ili komunalne radne organizacije.</w:t>
      </w:r>
    </w:p>
    <w:p w:rsidR="00024D21" w:rsidRDefault="00024D2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LOKACIJA I ZAŠTITA KOMUNALNIH I OSTALIH PRIKLJUČAKA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Opis rada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Rad obuhvaća zaštitu komunalnih instalacija i ostalih priključaka, kao što su zračni i</w:t>
      </w:r>
      <w:r w:rsidR="00CD17C9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podzemni vodovi električne energije, plinovodi, naftovodi, tel</w:t>
      </w:r>
      <w:bookmarkStart w:id="0" w:name="_GoBack"/>
      <w:bookmarkEnd w:id="0"/>
      <w:r w:rsidRPr="00013141">
        <w:rPr>
          <w:rFonts w:cstheme="minorHAnsi"/>
          <w:sz w:val="20"/>
        </w:rPr>
        <w:t>efonski vodovi, toplovodi,</w:t>
      </w:r>
      <w:r w:rsidR="00CD17C9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vodovodi, kanalizacija i drugo, koji su sastavni dio buduće prometnice, ili koji tijekom</w:t>
      </w:r>
      <w:r w:rsidR="00CD17C9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gradnje prometnice zbog primjerice prolaza teških i velikih vozila mogu biti ugrožene.</w:t>
      </w:r>
      <w:r w:rsidR="00CD17C9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Svi radovi vezani uz zaštitu komunalnih instalacija trebaju biti predviđeni u glavnom</w:t>
      </w:r>
      <w:r w:rsidR="00CD17C9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projektu. Ako nisu predviđeni investitor će angažirati specijalizirane komunalne</w:t>
      </w:r>
      <w:r w:rsidR="00CD17C9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organizacije za izradu potrebne projektne dokumentacije.</w:t>
      </w:r>
    </w:p>
    <w:p w:rsidR="00024D21" w:rsidRDefault="00024D2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Izrada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lastRenderedPageBreak/>
        <w:t>Radove obavljaju specijalizirane organizacije prema posebnim projektima i tehničkim</w:t>
      </w:r>
      <w:r w:rsidR="00CD17C9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uvjetima za odgovarajuću vrstu radova. Nadzor nad radovima obavljaju osobe koje su</w:t>
      </w:r>
      <w:r w:rsidR="00CD17C9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ovlaštene za određenu vrstu posla.</w:t>
      </w:r>
    </w:p>
    <w:p w:rsidR="00024D21" w:rsidRDefault="00024D21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0"/>
        </w:rPr>
      </w:pPr>
      <w:r w:rsidRPr="00013141">
        <w:rPr>
          <w:rFonts w:cstheme="minorHAnsi"/>
          <w:b/>
          <w:bCs/>
          <w:sz w:val="20"/>
        </w:rPr>
        <w:t>Obračun rada i plaćanje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Količine radova koje je obavila specijalizirana komunalna organizacija ovjerava ovlašteni</w:t>
      </w:r>
      <w:r w:rsidR="00CD17C9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nadzorni inženjer.</w:t>
      </w:r>
    </w:p>
    <w:p w:rsidR="00DF79A8" w:rsidRPr="00013141" w:rsidRDefault="00DF79A8" w:rsidP="004363BC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</w:rPr>
      </w:pPr>
      <w:r w:rsidRPr="00013141">
        <w:rPr>
          <w:rFonts w:cstheme="minorHAnsi"/>
          <w:sz w:val="20"/>
        </w:rPr>
        <w:t>Plaća se prema ugovorenom troškovniku na osnovi količina radova koje je ovjerio</w:t>
      </w:r>
      <w:r w:rsidR="00CD17C9">
        <w:rPr>
          <w:rFonts w:cstheme="minorHAnsi"/>
          <w:sz w:val="20"/>
        </w:rPr>
        <w:t xml:space="preserve"> </w:t>
      </w:r>
      <w:r w:rsidRPr="00013141">
        <w:rPr>
          <w:rFonts w:cstheme="minorHAnsi"/>
          <w:sz w:val="20"/>
        </w:rPr>
        <w:t>nadzorni inženjer.</w:t>
      </w:r>
    </w:p>
    <w:sectPr w:rsidR="00DF79A8" w:rsidRPr="00013141" w:rsidSect="00F45A24">
      <w:headerReference w:type="default" r:id="rId14"/>
      <w:footerReference w:type="default" r:id="rId15"/>
      <w:type w:val="continuous"/>
      <w:pgSz w:w="11906" w:h="16838"/>
      <w:pgMar w:top="720" w:right="720" w:bottom="720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68D3" w:rsidRDefault="005668D3" w:rsidP="00E70198">
      <w:pPr>
        <w:spacing w:after="0" w:line="240" w:lineRule="auto"/>
      </w:pPr>
      <w:r>
        <w:separator/>
      </w:r>
    </w:p>
  </w:endnote>
  <w:endnote w:type="continuationSeparator" w:id="0">
    <w:p w:rsidR="005668D3" w:rsidRDefault="005668D3" w:rsidP="00E70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000000"/>
        <w:insideH w:val="single" w:sz="12" w:space="0" w:color="00000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532"/>
      <w:gridCol w:w="236"/>
    </w:tblGrid>
    <w:tr w:rsidR="00893906" w:rsidRPr="00893906" w:rsidTr="0021636B">
      <w:tc>
        <w:tcPr>
          <w:tcW w:w="4297" w:type="pct"/>
          <w:vAlign w:val="center"/>
        </w:tcPr>
        <w:tbl>
          <w:tblPr>
            <w:tblStyle w:val="Reetkatablice12"/>
            <w:tblpPr w:leftFromText="180" w:rightFromText="180" w:vertAnchor="text" w:horzAnchor="margin" w:tblpY="128"/>
            <w:tblW w:w="9590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721"/>
            <w:gridCol w:w="3949"/>
            <w:gridCol w:w="3920"/>
          </w:tblGrid>
          <w:tr w:rsidR="00893906" w:rsidRPr="00893906" w:rsidTr="0021636B">
            <w:trPr>
              <w:trHeight w:val="134"/>
            </w:trPr>
            <w:tc>
              <w:tcPr>
                <w:tcW w:w="0" w:type="auto"/>
              </w:tcPr>
              <w:p w:rsidR="00893906" w:rsidRPr="00893906" w:rsidRDefault="00893906" w:rsidP="00893906">
                <w:pPr>
                  <w:ind w:right="140"/>
                  <w:rPr>
                    <w:rFonts w:ascii="Segoe UI" w:eastAsia="Times New Roman" w:hAnsi="Segoe UI" w:cs="Segoe UI"/>
                    <w:b/>
                    <w:bCs/>
                    <w:sz w:val="16"/>
                    <w:lang w:val="en-GB"/>
                  </w:rPr>
                </w:pPr>
                <w:r w:rsidRPr="00893906">
                  <w:rPr>
                    <w:rFonts w:ascii="Segoe UI" w:eastAsia="Times New Roman" w:hAnsi="Segoe UI" w:cs="Segoe UI"/>
                    <w:b/>
                    <w:bCs/>
                    <w:sz w:val="16"/>
                    <w:lang w:val="en-US"/>
                  </w:rPr>
                  <w:t xml:space="preserve">INVESTITOR:        </w:t>
                </w:r>
              </w:p>
            </w:tc>
            <w:tc>
              <w:tcPr>
                <w:tcW w:w="0" w:type="auto"/>
                <w:gridSpan w:val="2"/>
              </w:tcPr>
              <w:p w:rsidR="00893906" w:rsidRPr="00893906" w:rsidRDefault="00893906" w:rsidP="00893906">
                <w:pPr>
                  <w:tabs>
                    <w:tab w:val="left" w:pos="3686"/>
                  </w:tabs>
                  <w:ind w:right="140"/>
                  <w:rPr>
                    <w:rFonts w:ascii="Segoe UI" w:hAnsi="Segoe UI" w:cs="Segoe UI"/>
                    <w:b/>
                    <w:bCs/>
                    <w:color w:val="000000"/>
                    <w:sz w:val="16"/>
                    <w:lang w:val="en-US"/>
                  </w:rPr>
                </w:pPr>
                <w:r w:rsidRPr="00893906">
                  <w:rPr>
                    <w:rFonts w:ascii="Segoe UI" w:hAnsi="Segoe UI" w:cs="Segoe UI"/>
                    <w:b/>
                    <w:bCs/>
                    <w:color w:val="000000"/>
                    <w:sz w:val="16"/>
                  </w:rPr>
                  <w:t>Općina Šandrovac, Bjelovarska 6, 43227 Šandrovac</w:t>
                </w:r>
              </w:p>
            </w:tc>
          </w:tr>
          <w:tr w:rsidR="00893906" w:rsidRPr="00893906" w:rsidTr="0021636B">
            <w:trPr>
              <w:trHeight w:val="136"/>
            </w:trPr>
            <w:tc>
              <w:tcPr>
                <w:tcW w:w="0" w:type="auto"/>
              </w:tcPr>
              <w:p w:rsidR="00893906" w:rsidRPr="00893906" w:rsidRDefault="00893906" w:rsidP="00893906">
                <w:pPr>
                  <w:ind w:right="140"/>
                  <w:rPr>
                    <w:rFonts w:ascii="Segoe UI" w:eastAsia="Times New Roman" w:hAnsi="Segoe UI" w:cs="Segoe UI"/>
                    <w:b/>
                    <w:bCs/>
                    <w:sz w:val="16"/>
                    <w:lang w:val="en-GB"/>
                  </w:rPr>
                </w:pPr>
                <w:r w:rsidRPr="00893906">
                  <w:rPr>
                    <w:rFonts w:ascii="Segoe UI" w:eastAsia="Times New Roman" w:hAnsi="Segoe UI" w:cs="Segoe UI"/>
                    <w:b/>
                    <w:bCs/>
                    <w:sz w:val="16"/>
                    <w:lang w:val="en-US"/>
                  </w:rPr>
                  <w:t>GRAĐEVINA:</w:t>
                </w:r>
              </w:p>
            </w:tc>
            <w:tc>
              <w:tcPr>
                <w:tcW w:w="0" w:type="auto"/>
                <w:gridSpan w:val="2"/>
              </w:tcPr>
              <w:p w:rsidR="00893906" w:rsidRPr="00893906" w:rsidRDefault="00893906" w:rsidP="00893906">
                <w:pPr>
                  <w:ind w:right="142"/>
                  <w:rPr>
                    <w:rFonts w:ascii="Segoe UI" w:eastAsia="Times New Roman" w:hAnsi="Segoe UI" w:cs="Segoe UI"/>
                    <w:b/>
                    <w:bCs/>
                    <w:sz w:val="16"/>
                    <w:lang w:val="en-US"/>
                  </w:rPr>
                </w:pPr>
                <w:r w:rsidRPr="00893906">
                  <w:rPr>
                    <w:rFonts w:ascii="Segoe UI" w:eastAsia="Times New Roman" w:hAnsi="Segoe UI" w:cs="Segoe UI"/>
                    <w:b/>
                    <w:sz w:val="16"/>
                    <w:lang w:val="en-US"/>
                  </w:rPr>
                  <w:t>REKONSTRUKCIJA NERAZVRSTANE CESTE LASOVAC SEVERIN L=cca 1449m</w:t>
                </w:r>
              </w:p>
            </w:tc>
          </w:tr>
          <w:tr w:rsidR="00893906" w:rsidRPr="00893906" w:rsidTr="0021636B">
            <w:trPr>
              <w:trHeight w:val="69"/>
            </w:trPr>
            <w:tc>
              <w:tcPr>
                <w:tcW w:w="0" w:type="auto"/>
              </w:tcPr>
              <w:p w:rsidR="00893906" w:rsidRPr="00893906" w:rsidRDefault="00893906" w:rsidP="00893906">
                <w:pPr>
                  <w:ind w:right="140"/>
                  <w:rPr>
                    <w:rFonts w:ascii="Segoe UI" w:eastAsia="Times New Roman" w:hAnsi="Segoe UI" w:cs="Segoe UI"/>
                    <w:b/>
                    <w:bCs/>
                    <w:sz w:val="16"/>
                    <w:lang w:val="en-US"/>
                  </w:rPr>
                </w:pPr>
                <w:r w:rsidRPr="00893906">
                  <w:rPr>
                    <w:rFonts w:ascii="Segoe UI" w:eastAsia="Times New Roman" w:hAnsi="Segoe UI" w:cs="Segoe UI"/>
                    <w:b/>
                    <w:bCs/>
                    <w:sz w:val="16"/>
                    <w:lang w:val="en-US"/>
                  </w:rPr>
                  <w:t>LOKACIJA:</w:t>
                </w:r>
              </w:p>
            </w:tc>
            <w:tc>
              <w:tcPr>
                <w:tcW w:w="0" w:type="auto"/>
                <w:gridSpan w:val="2"/>
              </w:tcPr>
              <w:p w:rsidR="00893906" w:rsidRPr="00893906" w:rsidRDefault="00893906" w:rsidP="00893906">
                <w:pPr>
                  <w:tabs>
                    <w:tab w:val="center" w:pos="3129"/>
                  </w:tabs>
                  <w:jc w:val="both"/>
                  <w:rPr>
                    <w:rFonts w:ascii="Segoe UI" w:hAnsi="Segoe UI" w:cs="Segoe UI"/>
                    <w:b/>
                    <w:bCs/>
                    <w:color w:val="000000"/>
                    <w:sz w:val="16"/>
                    <w:lang w:val="en-US"/>
                  </w:rPr>
                </w:pPr>
                <w:r w:rsidRPr="00893906">
                  <w:rPr>
                    <w:rFonts w:ascii="Segoe UI" w:eastAsia="Times New Roman" w:hAnsi="Segoe UI" w:cs="Segoe UI"/>
                    <w:b/>
                    <w:sz w:val="16"/>
                    <w:lang w:val="en-US"/>
                  </w:rPr>
                  <w:t xml:space="preserve"> k.č. br. 1692 u k.o. BEDENIK</w:t>
                </w:r>
                <w:r w:rsidRPr="00893906">
                  <w:rPr>
                    <w:rFonts w:ascii="Segoe UI" w:eastAsia="Times New Roman" w:hAnsi="Segoe UI" w:cs="Segoe UI"/>
                    <w:b/>
                    <w:sz w:val="16"/>
                    <w:lang w:val="en-US"/>
                  </w:rPr>
                  <w:tab/>
                </w:r>
              </w:p>
            </w:tc>
          </w:tr>
          <w:tr w:rsidR="00893906" w:rsidRPr="00893906" w:rsidTr="0021636B">
            <w:trPr>
              <w:trHeight w:val="103"/>
            </w:trPr>
            <w:tc>
              <w:tcPr>
                <w:tcW w:w="0" w:type="auto"/>
              </w:tcPr>
              <w:p w:rsidR="00893906" w:rsidRPr="00893906" w:rsidRDefault="00893906" w:rsidP="00893906">
                <w:pPr>
                  <w:ind w:right="140"/>
                  <w:rPr>
                    <w:rFonts w:ascii="Segoe UI" w:eastAsia="Times New Roman" w:hAnsi="Segoe UI" w:cs="Segoe UI"/>
                    <w:b/>
                    <w:bCs/>
                    <w:sz w:val="16"/>
                    <w:lang w:val="en-GB"/>
                  </w:rPr>
                </w:pPr>
                <w:r w:rsidRPr="00893906">
                  <w:rPr>
                    <w:rFonts w:ascii="Segoe UI" w:eastAsia="Times New Roman" w:hAnsi="Segoe UI" w:cs="Segoe UI"/>
                    <w:b/>
                    <w:bCs/>
                    <w:sz w:val="16"/>
                    <w:lang w:val="en-US"/>
                  </w:rPr>
                  <w:t>T.D:</w:t>
                </w:r>
              </w:p>
            </w:tc>
            <w:tc>
              <w:tcPr>
                <w:tcW w:w="3949" w:type="dxa"/>
              </w:tcPr>
              <w:p w:rsidR="00893906" w:rsidRPr="00893906" w:rsidRDefault="00893906" w:rsidP="00893906">
                <w:pPr>
                  <w:ind w:right="140"/>
                  <w:rPr>
                    <w:rFonts w:ascii="Segoe UI" w:eastAsia="Times New Roman" w:hAnsi="Segoe UI" w:cs="Segoe UI"/>
                    <w:b/>
                    <w:bCs/>
                    <w:sz w:val="16"/>
                    <w:lang w:val="en-US"/>
                  </w:rPr>
                </w:pPr>
                <w:r w:rsidRPr="00893906">
                  <w:rPr>
                    <w:rFonts w:ascii="Segoe UI" w:eastAsia="Times New Roman" w:hAnsi="Segoe UI" w:cs="Segoe UI"/>
                    <w:b/>
                    <w:bCs/>
                    <w:sz w:val="16"/>
                    <w:lang w:val="en-US"/>
                  </w:rPr>
                  <w:t>T.D. 17-1/2016</w:t>
                </w:r>
              </w:p>
            </w:tc>
            <w:tc>
              <w:tcPr>
                <w:tcW w:w="3920" w:type="dxa"/>
              </w:tcPr>
              <w:p w:rsidR="00893906" w:rsidRPr="00893906" w:rsidRDefault="00893906" w:rsidP="00893906">
                <w:pPr>
                  <w:ind w:right="140"/>
                  <w:rPr>
                    <w:rFonts w:ascii="Segoe UI" w:eastAsia="Times New Roman" w:hAnsi="Segoe UI" w:cs="Segoe UI"/>
                    <w:b/>
                    <w:bCs/>
                    <w:sz w:val="16"/>
                    <w:lang w:val="en-US"/>
                  </w:rPr>
                </w:pPr>
                <w:r w:rsidRPr="00893906">
                  <w:rPr>
                    <w:rFonts w:ascii="Segoe UI" w:eastAsia="Times New Roman" w:hAnsi="Segoe UI" w:cs="Segoe UI"/>
                    <w:b/>
                    <w:bCs/>
                    <w:sz w:val="16"/>
                    <w:lang w:val="en-US"/>
                  </w:rPr>
                  <w:t>rujan.2016</w:t>
                </w:r>
              </w:p>
            </w:tc>
          </w:tr>
        </w:tbl>
        <w:p w:rsidR="00893906" w:rsidRPr="00893906" w:rsidRDefault="00893906" w:rsidP="00893906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Constantia" w:eastAsia="Calibri" w:hAnsi="Constantia" w:cs="Times New Roman"/>
              <w:sz w:val="16"/>
              <w:szCs w:val="16"/>
            </w:rPr>
          </w:pPr>
        </w:p>
      </w:tc>
      <w:tc>
        <w:tcPr>
          <w:tcW w:w="703" w:type="pct"/>
          <w:shd w:val="clear" w:color="auto" w:fill="auto"/>
        </w:tcPr>
        <w:p w:rsidR="00893906" w:rsidRPr="00893906" w:rsidRDefault="00893906" w:rsidP="00893906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Constantia" w:eastAsia="Calibri" w:hAnsi="Constantia" w:cs="Times New Roman"/>
              <w:sz w:val="24"/>
              <w:szCs w:val="24"/>
            </w:rPr>
          </w:pPr>
        </w:p>
      </w:tc>
    </w:tr>
  </w:tbl>
  <w:p w:rsidR="00E70198" w:rsidRDefault="00E70198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68D3" w:rsidRDefault="005668D3" w:rsidP="00E70198">
      <w:pPr>
        <w:spacing w:after="0" w:line="240" w:lineRule="auto"/>
      </w:pPr>
      <w:r>
        <w:separator/>
      </w:r>
    </w:p>
  </w:footnote>
  <w:footnote w:type="continuationSeparator" w:id="0">
    <w:p w:rsidR="005668D3" w:rsidRDefault="005668D3" w:rsidP="00E701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345"/>
      <w:gridCol w:w="5134"/>
      <w:gridCol w:w="1134"/>
      <w:gridCol w:w="1134"/>
    </w:tblGrid>
    <w:tr w:rsidR="00893906" w:rsidRPr="00893906" w:rsidTr="0021636B">
      <w:trPr>
        <w:trHeight w:val="864"/>
        <w:jc w:val="center"/>
      </w:trPr>
      <w:tc>
        <w:tcPr>
          <w:tcW w:w="2345" w:type="dxa"/>
          <w:vAlign w:val="center"/>
        </w:tcPr>
        <w:p w:rsidR="00893906" w:rsidRPr="00893906" w:rsidRDefault="00893906" w:rsidP="00893906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 Black" w:eastAsia="Calibri" w:hAnsi="Arial Black" w:cs="Arial"/>
              <w:b/>
              <w:color w:val="000000"/>
              <w:sz w:val="36"/>
              <w:szCs w:val="36"/>
            </w:rPr>
          </w:pPr>
          <w:r w:rsidRPr="00893906">
            <w:rPr>
              <w:rFonts w:ascii="Calibri" w:eastAsia="Calibri" w:hAnsi="Calibri" w:cs="Times New Roman"/>
              <w:noProof/>
              <w:lang w:eastAsia="hr-HR"/>
            </w:rPr>
            <w:drawing>
              <wp:inline distT="0" distB="0" distL="0" distR="0" wp14:anchorId="716FC5D3" wp14:editId="68051EC5">
                <wp:extent cx="1290856" cy="315094"/>
                <wp:effectExtent l="19050" t="0" r="4544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</a:blip>
                        <a:srcRect l="19333" t="65027" r="49489" b="2091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2935" cy="3204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4" w:type="dxa"/>
          <w:vAlign w:val="center"/>
        </w:tcPr>
        <w:p w:rsidR="00893906" w:rsidRPr="00893906" w:rsidRDefault="00893906" w:rsidP="00893906">
          <w:pPr>
            <w:spacing w:after="0" w:line="220" w:lineRule="atLeast"/>
            <w:rPr>
              <w:rFonts w:ascii="Trebuchet MS" w:eastAsia="Times New Roman" w:hAnsi="Trebuchet MS" w:cs="Times New Roman"/>
              <w:color w:val="808080"/>
              <w:sz w:val="16"/>
              <w:szCs w:val="16"/>
              <w:lang w:val="en-GB" w:eastAsia="hr-HR"/>
            </w:rPr>
          </w:pPr>
          <w:r w:rsidRPr="00893906">
            <w:rPr>
              <w:rFonts w:ascii="Trebuchet MS" w:eastAsia="Times New Roman" w:hAnsi="Trebuchet MS" w:cs="Times New Roman"/>
              <w:color w:val="808080"/>
              <w:sz w:val="16"/>
              <w:szCs w:val="16"/>
              <w:lang w:val="en-GB" w:eastAsia="hr-HR"/>
            </w:rPr>
            <w:t>Projektiranje-nadzor -građenje,Andrije Kačića Miošića 5B,Bjelovar</w:t>
          </w:r>
        </w:p>
        <w:p w:rsidR="00893906" w:rsidRPr="00893906" w:rsidRDefault="00893906" w:rsidP="00893906">
          <w:pPr>
            <w:spacing w:after="0" w:line="240" w:lineRule="auto"/>
            <w:rPr>
              <w:rFonts w:ascii="Trebuchet MS" w:eastAsia="Times New Roman" w:hAnsi="Trebuchet MS" w:cs="Arial"/>
              <w:noProof/>
              <w:color w:val="808080"/>
              <w:sz w:val="16"/>
              <w:szCs w:val="16"/>
              <w:lang w:val="en-US"/>
            </w:rPr>
          </w:pPr>
          <w:r w:rsidRPr="00893906">
            <w:rPr>
              <w:rFonts w:ascii="Trebuchet MS" w:eastAsia="Times New Roman" w:hAnsi="Trebuchet MS" w:cs="Arial"/>
              <w:noProof/>
              <w:color w:val="808080"/>
              <w:sz w:val="16"/>
              <w:szCs w:val="16"/>
              <w:lang w:val="en-US"/>
            </w:rPr>
            <w:t xml:space="preserve">T +385(0)43 212 405   M +385(0)91 531 5592   </w:t>
          </w:r>
        </w:p>
        <w:p w:rsidR="00893906" w:rsidRPr="00893906" w:rsidRDefault="00893906" w:rsidP="00893906">
          <w:pPr>
            <w:spacing w:after="0" w:line="240" w:lineRule="auto"/>
            <w:rPr>
              <w:rFonts w:ascii="Trebuchet MS" w:eastAsia="Times New Roman" w:hAnsi="Trebuchet MS" w:cs="Arial"/>
              <w:noProof/>
              <w:sz w:val="16"/>
              <w:szCs w:val="16"/>
              <w:lang w:val="en-US"/>
            </w:rPr>
          </w:pPr>
          <w:r w:rsidRPr="00893906">
            <w:rPr>
              <w:rFonts w:ascii="Trebuchet MS" w:eastAsia="Times New Roman" w:hAnsi="Trebuchet MS" w:cs="Arial"/>
              <w:noProof/>
              <w:color w:val="808080"/>
              <w:sz w:val="14"/>
              <w:szCs w:val="16"/>
              <w:lang w:val="en-US"/>
            </w:rPr>
            <w:t xml:space="preserve">E-MAIL </w:t>
          </w:r>
          <w:hyperlink r:id="rId2" w:history="1">
            <w:r w:rsidRPr="00893906">
              <w:rPr>
                <w:rFonts w:ascii="Trebuchet MS" w:eastAsia="Times New Roman" w:hAnsi="Trebuchet MS" w:cs="Arial"/>
                <w:noProof/>
                <w:color w:val="808080"/>
                <w:sz w:val="18"/>
                <w:szCs w:val="20"/>
                <w:lang w:val="en-US"/>
              </w:rPr>
              <w:t>mplan.bj@gmail.com</w:t>
            </w:r>
          </w:hyperlink>
          <w:r w:rsidRPr="00893906">
            <w:rPr>
              <w:rFonts w:ascii="Trebuchet MS" w:eastAsia="Times New Roman" w:hAnsi="Trebuchet MS" w:cs="Arial"/>
              <w:noProof/>
              <w:color w:val="808080"/>
              <w:sz w:val="16"/>
              <w:szCs w:val="16"/>
              <w:lang w:val="en-US"/>
            </w:rPr>
            <w:t xml:space="preserve"> , www.mplan.hr</w:t>
          </w:r>
        </w:p>
      </w:tc>
      <w:tc>
        <w:tcPr>
          <w:tcW w:w="1134" w:type="dxa"/>
          <w:vAlign w:val="center"/>
        </w:tcPr>
        <w:p w:rsidR="00893906" w:rsidRPr="00893906" w:rsidRDefault="00893906" w:rsidP="00893906">
          <w:pPr>
            <w:spacing w:after="0" w:line="276" w:lineRule="auto"/>
            <w:jc w:val="center"/>
            <w:rPr>
              <w:rFonts w:ascii="Trebuchet MS" w:eastAsia="Times New Roman" w:hAnsi="Trebuchet MS" w:cs="Times New Roman"/>
              <w:b/>
              <w:color w:val="808080"/>
              <w:sz w:val="18"/>
              <w:szCs w:val="18"/>
              <w:lang w:val="en-US" w:eastAsia="hr-HR"/>
            </w:rPr>
          </w:pPr>
          <w:r w:rsidRPr="00893906">
            <w:rPr>
              <w:rFonts w:ascii="Trebuchet MS" w:eastAsia="Times New Roman" w:hAnsi="Trebuchet MS" w:cs="Times New Roman"/>
              <w:b/>
              <w:color w:val="808080"/>
              <w:sz w:val="18"/>
              <w:szCs w:val="18"/>
              <w:lang w:val="en-US" w:eastAsia="hr-HR"/>
            </w:rPr>
            <w:t>T.D.</w:t>
          </w:r>
        </w:p>
        <w:p w:rsidR="00893906" w:rsidRPr="00893906" w:rsidRDefault="00893906" w:rsidP="00893906">
          <w:pPr>
            <w:spacing w:after="0" w:line="276" w:lineRule="auto"/>
            <w:jc w:val="center"/>
            <w:rPr>
              <w:rFonts w:ascii="Trebuchet MS" w:eastAsia="Times New Roman" w:hAnsi="Trebuchet MS" w:cs="Times New Roman"/>
              <w:color w:val="808080"/>
              <w:sz w:val="16"/>
              <w:szCs w:val="16"/>
              <w:lang w:val="en-US" w:eastAsia="hr-HR"/>
            </w:rPr>
          </w:pPr>
          <w:r w:rsidRPr="00893906">
            <w:rPr>
              <w:rFonts w:ascii="Trebuchet MS" w:eastAsia="Times New Roman" w:hAnsi="Trebuchet MS" w:cs="Times New Roman"/>
              <w:color w:val="808080"/>
              <w:sz w:val="18"/>
              <w:szCs w:val="16"/>
              <w:lang w:val="en-US" w:eastAsia="hr-HR"/>
            </w:rPr>
            <w:t>T.D. 17-1/2016</w:t>
          </w:r>
        </w:p>
      </w:tc>
      <w:tc>
        <w:tcPr>
          <w:tcW w:w="1134" w:type="dxa"/>
        </w:tcPr>
        <w:p w:rsidR="00893906" w:rsidRPr="00893906" w:rsidRDefault="00893906" w:rsidP="00893906">
          <w:pPr>
            <w:spacing w:after="0" w:line="276" w:lineRule="auto"/>
            <w:rPr>
              <w:rFonts w:ascii="Trebuchet MS" w:eastAsia="Times New Roman" w:hAnsi="Trebuchet MS" w:cs="Times New Roman"/>
              <w:b/>
              <w:color w:val="808080"/>
              <w:sz w:val="18"/>
              <w:szCs w:val="18"/>
              <w:lang w:val="en-US" w:eastAsia="hr-HR"/>
            </w:rPr>
          </w:pPr>
        </w:p>
        <w:p w:rsidR="00893906" w:rsidRPr="00893906" w:rsidRDefault="00893906" w:rsidP="00893906">
          <w:pPr>
            <w:spacing w:after="0" w:line="276" w:lineRule="auto"/>
            <w:rPr>
              <w:rFonts w:ascii="Trebuchet MS" w:eastAsia="Times New Roman" w:hAnsi="Trebuchet MS" w:cs="Times New Roman"/>
              <w:b/>
              <w:color w:val="808080"/>
              <w:sz w:val="18"/>
              <w:szCs w:val="18"/>
              <w:lang w:val="en-US" w:eastAsia="hr-HR"/>
            </w:rPr>
          </w:pPr>
          <w:r w:rsidRPr="00893906">
            <w:rPr>
              <w:rFonts w:ascii="Trebuchet MS" w:eastAsia="Times New Roman" w:hAnsi="Trebuchet MS" w:cs="Times New Roman"/>
              <w:b/>
              <w:color w:val="808080"/>
              <w:sz w:val="18"/>
              <w:szCs w:val="18"/>
              <w:lang w:val="en-US" w:eastAsia="hr-HR"/>
            </w:rPr>
            <w:t xml:space="preserve">   list br.</w:t>
          </w:r>
        </w:p>
        <w:p w:rsidR="00893906" w:rsidRPr="00893906" w:rsidRDefault="00893906" w:rsidP="00893906">
          <w:pPr>
            <w:spacing w:after="0" w:line="240" w:lineRule="auto"/>
            <w:jc w:val="center"/>
            <w:rPr>
              <w:rFonts w:ascii="Trebuchet MS" w:eastAsia="Times New Roman" w:hAnsi="Trebuchet MS" w:cs="Times New Roman"/>
              <w:color w:val="808080"/>
              <w:lang w:val="en-US" w:eastAsia="hr-HR"/>
            </w:rPr>
          </w:pPr>
          <w:r w:rsidRPr="00893906">
            <w:rPr>
              <w:rFonts w:ascii="Trebuchet MS" w:eastAsia="Times New Roman" w:hAnsi="Trebuchet MS" w:cs="Times New Roman"/>
              <w:color w:val="808080"/>
              <w:lang w:val="en-US" w:eastAsia="hr-HR"/>
            </w:rPr>
            <w:fldChar w:fldCharType="begin"/>
          </w:r>
          <w:r w:rsidRPr="00893906">
            <w:rPr>
              <w:rFonts w:ascii="Trebuchet MS" w:eastAsia="Times New Roman" w:hAnsi="Trebuchet MS" w:cs="Times New Roman"/>
              <w:color w:val="808080"/>
              <w:lang w:val="en-US" w:eastAsia="hr-HR"/>
            </w:rPr>
            <w:instrText xml:space="preserve"> PAGE   \* MERGEFORMAT </w:instrText>
          </w:r>
          <w:r w:rsidRPr="00893906">
            <w:rPr>
              <w:rFonts w:ascii="Trebuchet MS" w:eastAsia="Times New Roman" w:hAnsi="Trebuchet MS" w:cs="Times New Roman"/>
              <w:color w:val="808080"/>
              <w:lang w:val="en-US" w:eastAsia="hr-HR"/>
            </w:rPr>
            <w:fldChar w:fldCharType="separate"/>
          </w:r>
          <w:r w:rsidR="005508DB">
            <w:rPr>
              <w:rFonts w:ascii="Trebuchet MS" w:eastAsia="Times New Roman" w:hAnsi="Trebuchet MS" w:cs="Times New Roman"/>
              <w:noProof/>
              <w:color w:val="808080"/>
              <w:lang w:val="en-US" w:eastAsia="hr-HR"/>
            </w:rPr>
            <w:t>6</w:t>
          </w:r>
          <w:r w:rsidRPr="00893906">
            <w:rPr>
              <w:rFonts w:ascii="Trebuchet MS" w:eastAsia="Times New Roman" w:hAnsi="Trebuchet MS" w:cs="Times New Roman"/>
              <w:color w:val="808080"/>
              <w:lang w:val="en-US" w:eastAsia="hr-HR"/>
            </w:rPr>
            <w:fldChar w:fldCharType="end"/>
          </w:r>
        </w:p>
      </w:tc>
    </w:tr>
  </w:tbl>
  <w:p w:rsidR="00E70198" w:rsidRDefault="00E70198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1CDC"/>
    <w:rsid w:val="00013141"/>
    <w:rsid w:val="00024D21"/>
    <w:rsid w:val="000E11D1"/>
    <w:rsid w:val="00166804"/>
    <w:rsid w:val="00176D68"/>
    <w:rsid w:val="002F36D7"/>
    <w:rsid w:val="004363BC"/>
    <w:rsid w:val="00464C69"/>
    <w:rsid w:val="004B43E9"/>
    <w:rsid w:val="004E68FC"/>
    <w:rsid w:val="0053648D"/>
    <w:rsid w:val="005508DB"/>
    <w:rsid w:val="005668D3"/>
    <w:rsid w:val="0057682D"/>
    <w:rsid w:val="00594E98"/>
    <w:rsid w:val="006D7F24"/>
    <w:rsid w:val="007F7E71"/>
    <w:rsid w:val="00893906"/>
    <w:rsid w:val="009D1CDC"/>
    <w:rsid w:val="00A62F91"/>
    <w:rsid w:val="00B37D2B"/>
    <w:rsid w:val="00B70FB4"/>
    <w:rsid w:val="00BA5AC4"/>
    <w:rsid w:val="00C85B2E"/>
    <w:rsid w:val="00CD17C9"/>
    <w:rsid w:val="00DF79A8"/>
    <w:rsid w:val="00E70198"/>
    <w:rsid w:val="00ED2407"/>
    <w:rsid w:val="00F45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FE6AA392-F750-43EF-A503-2647EB448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Naslov5">
    <w:name w:val="heading 5"/>
    <w:basedOn w:val="Normal"/>
    <w:next w:val="Normal"/>
    <w:link w:val="Naslov5Char"/>
    <w:qFormat/>
    <w:rsid w:val="004363BC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5Char">
    <w:name w:val="Naslov 5 Char"/>
    <w:basedOn w:val="Zadanifontodlomka"/>
    <w:link w:val="Naslov5"/>
    <w:rsid w:val="004363BC"/>
    <w:rPr>
      <w:rFonts w:ascii="Times New Roman" w:eastAsia="Times New Roman" w:hAnsi="Times New Roman" w:cs="Times New Roman"/>
      <w:b/>
      <w:bCs/>
      <w:i/>
      <w:iCs/>
      <w:sz w:val="26"/>
      <w:szCs w:val="26"/>
      <w:lang w:val="en-GB"/>
    </w:rPr>
  </w:style>
  <w:style w:type="table" w:styleId="Reetkatablice">
    <w:name w:val="Table Grid"/>
    <w:basedOn w:val="Obinatablica"/>
    <w:uiPriority w:val="59"/>
    <w:rsid w:val="004363B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Reetkatablice1">
    <w:name w:val="Rešetka tablice1"/>
    <w:basedOn w:val="Obinatablica"/>
    <w:next w:val="Reetkatablice"/>
    <w:uiPriority w:val="59"/>
    <w:rsid w:val="004363B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ASLOVNICA-BOLD">
    <w:name w:val="NASLOVNICA-BOLD"/>
    <w:basedOn w:val="Normal"/>
    <w:rsid w:val="004363BC"/>
    <w:pPr>
      <w:tabs>
        <w:tab w:val="left" w:pos="3686"/>
      </w:tabs>
      <w:spacing w:before="40" w:after="40" w:line="240" w:lineRule="auto"/>
    </w:pPr>
    <w:rPr>
      <w:rFonts w:ascii="Trebuchet MS" w:eastAsia="Times New Roman" w:hAnsi="Trebuchet MS" w:cs="Arial"/>
      <w:b/>
      <w:color w:val="000080"/>
      <w:sz w:val="24"/>
      <w:szCs w:val="20"/>
    </w:rPr>
  </w:style>
  <w:style w:type="character" w:styleId="Hiperveza">
    <w:name w:val="Hyperlink"/>
    <w:basedOn w:val="Zadanifontodlomka"/>
    <w:uiPriority w:val="99"/>
    <w:unhideWhenUsed/>
    <w:rsid w:val="004363BC"/>
    <w:rPr>
      <w:color w:val="0563C1" w:themeColor="hyperlink"/>
      <w:u w:val="single"/>
    </w:rPr>
  </w:style>
  <w:style w:type="character" w:styleId="Tekstrezerviranogmjesta">
    <w:name w:val="Placeholder Text"/>
    <w:basedOn w:val="Zadanifontodlomka"/>
    <w:uiPriority w:val="99"/>
    <w:semiHidden/>
    <w:rsid w:val="004363BC"/>
    <w:rPr>
      <w:color w:val="808080"/>
    </w:rPr>
  </w:style>
  <w:style w:type="paragraph" w:styleId="Zaglavlje">
    <w:name w:val="header"/>
    <w:basedOn w:val="Normal"/>
    <w:link w:val="ZaglavljeChar"/>
    <w:uiPriority w:val="99"/>
    <w:unhideWhenUsed/>
    <w:rsid w:val="00E701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70198"/>
  </w:style>
  <w:style w:type="paragraph" w:styleId="Podnoje">
    <w:name w:val="footer"/>
    <w:basedOn w:val="Normal"/>
    <w:link w:val="PodnojeChar"/>
    <w:uiPriority w:val="99"/>
    <w:unhideWhenUsed/>
    <w:rsid w:val="00E701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70198"/>
  </w:style>
  <w:style w:type="table" w:customStyle="1" w:styleId="Reetkatablice11">
    <w:name w:val="Rešetka tablice11"/>
    <w:basedOn w:val="Obinatablica"/>
    <w:next w:val="Reetkatablice"/>
    <w:uiPriority w:val="59"/>
    <w:rsid w:val="00E7019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4B43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B43E9"/>
    <w:rPr>
      <w:rFonts w:ascii="Segoe UI" w:hAnsi="Segoe UI" w:cs="Segoe UI"/>
      <w:sz w:val="18"/>
      <w:szCs w:val="18"/>
    </w:rPr>
  </w:style>
  <w:style w:type="table" w:customStyle="1" w:styleId="Reetkatablice12">
    <w:name w:val="Rešetka tablice12"/>
    <w:basedOn w:val="Obinatablica"/>
    <w:next w:val="Reetkatablice"/>
    <w:uiPriority w:val="59"/>
    <w:rsid w:val="0089390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">
    <w:name w:val="Table Grid1"/>
    <w:basedOn w:val="Obinatablica"/>
    <w:next w:val="Reetkatablice"/>
    <w:uiPriority w:val="59"/>
    <w:rsid w:val="0089390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Reetkatablice13">
    <w:name w:val="Rešetka tablice13"/>
    <w:basedOn w:val="Obinatablica"/>
    <w:next w:val="Reetkatablice"/>
    <w:uiPriority w:val="59"/>
    <w:rsid w:val="0089390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plan.bj@gmail.com" TargetMode="External"/><Relationship Id="rId13" Type="http://schemas.openxmlformats.org/officeDocument/2006/relationships/image" Target="media/image6.tm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tm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mplan.bj@g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32D369-2C85-4407-89E8-CEFE362B5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5581</Words>
  <Characters>31818</Characters>
  <Application>Microsoft Office Word</Application>
  <DocSecurity>0</DocSecurity>
  <Lines>265</Lines>
  <Paragraphs>74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M plan</cp:lastModifiedBy>
  <cp:revision>2</cp:revision>
  <cp:lastPrinted>2016-10-20T11:24:00Z</cp:lastPrinted>
  <dcterms:created xsi:type="dcterms:W3CDTF">2018-02-26T09:22:00Z</dcterms:created>
  <dcterms:modified xsi:type="dcterms:W3CDTF">2018-02-26T09:22:00Z</dcterms:modified>
</cp:coreProperties>
</file>