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B8" w:rsidRDefault="004C7CB8" w:rsidP="004C7CB8">
      <w:pPr>
        <w:pStyle w:val="Tijeloteksta2"/>
        <w:spacing w:after="0" w:line="240" w:lineRule="auto"/>
        <w:jc w:val="both"/>
      </w:pPr>
      <w:r>
        <w:t xml:space="preserve">                         </w:t>
      </w:r>
      <w:r>
        <w:rPr>
          <w:noProof/>
        </w:rPr>
        <w:drawing>
          <wp:inline distT="0" distB="0" distL="0" distR="0" wp14:anchorId="29A74E09" wp14:editId="12696D2A">
            <wp:extent cx="576000" cy="729114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72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CB8" w:rsidRPr="004C7CB8" w:rsidRDefault="004C7CB8" w:rsidP="004C7CB8">
      <w:pPr>
        <w:pStyle w:val="Tijeloteksta2"/>
        <w:spacing w:after="0" w:line="240" w:lineRule="auto"/>
        <w:jc w:val="both"/>
        <w:rPr>
          <w:b/>
        </w:rPr>
      </w:pPr>
      <w:r w:rsidRPr="004C7CB8">
        <w:rPr>
          <w:b/>
          <w:sz w:val="20"/>
          <w:szCs w:val="20"/>
        </w:rPr>
        <w:t xml:space="preserve">          </w:t>
      </w:r>
      <w:r w:rsidRPr="004C7CB8">
        <w:rPr>
          <w:b/>
        </w:rPr>
        <w:t>REPUBLIKA HRVATSKA</w:t>
      </w:r>
    </w:p>
    <w:p w:rsidR="004C7CB8" w:rsidRPr="00FB5AC4" w:rsidRDefault="004C7CB8" w:rsidP="004C7CB8">
      <w:pPr>
        <w:rPr>
          <w:b/>
        </w:rPr>
      </w:pPr>
      <w:r>
        <w:t xml:space="preserve">    </w:t>
      </w:r>
      <w:r w:rsidRPr="00FB5AC4">
        <w:rPr>
          <w:b/>
        </w:rPr>
        <w:t>BJELOVARSKO-BILOGORSKA</w:t>
      </w:r>
    </w:p>
    <w:p w:rsidR="004C7CB8" w:rsidRPr="00FB5AC4" w:rsidRDefault="004C7CB8" w:rsidP="004C7CB8">
      <w:pPr>
        <w:rPr>
          <w:b/>
        </w:rPr>
      </w:pPr>
      <w:r>
        <w:rPr>
          <w:b/>
        </w:rPr>
        <w:t xml:space="preserve">                      </w:t>
      </w:r>
      <w:r w:rsidRPr="00FB5AC4">
        <w:rPr>
          <w:b/>
        </w:rPr>
        <w:t>ŽUPANIJA</w:t>
      </w:r>
    </w:p>
    <w:p w:rsidR="004C7CB8" w:rsidRDefault="004C7CB8" w:rsidP="004C7CB8">
      <w:pPr>
        <w:rPr>
          <w:b/>
        </w:rPr>
      </w:pPr>
      <w:r>
        <w:rPr>
          <w:b/>
        </w:rPr>
        <w:t xml:space="preserve">          </w:t>
      </w:r>
      <w:r w:rsidRPr="00FB5AC4">
        <w:rPr>
          <w:b/>
        </w:rPr>
        <w:t xml:space="preserve"> OPĆINA ŠANDROVAC</w:t>
      </w:r>
      <w:r>
        <w:rPr>
          <w:b/>
        </w:rPr>
        <w:t xml:space="preserve"> </w:t>
      </w:r>
    </w:p>
    <w:p w:rsidR="004C7CB8" w:rsidRDefault="004C7CB8" w:rsidP="004C7CB8">
      <w:pPr>
        <w:rPr>
          <w:b/>
        </w:rPr>
      </w:pPr>
      <w:r>
        <w:rPr>
          <w:b/>
        </w:rPr>
        <w:t xml:space="preserve">           OPĆINSKI NAČELNIK</w:t>
      </w:r>
    </w:p>
    <w:p w:rsidR="004C7CB8" w:rsidRDefault="004C7CB8" w:rsidP="004C7CB8">
      <w:pPr>
        <w:rPr>
          <w:b/>
        </w:rPr>
      </w:pPr>
    </w:p>
    <w:p w:rsidR="004C7CB8" w:rsidRDefault="004C7CB8" w:rsidP="004C7CB8">
      <w:pPr>
        <w:rPr>
          <w:b/>
        </w:rPr>
      </w:pPr>
      <w:r>
        <w:rPr>
          <w:b/>
        </w:rPr>
        <w:t>KLASA: 363-01/18-03/2</w:t>
      </w:r>
    </w:p>
    <w:p w:rsidR="004C7CB8" w:rsidRDefault="00231B5B" w:rsidP="004C7CB8">
      <w:pPr>
        <w:rPr>
          <w:b/>
        </w:rPr>
      </w:pPr>
      <w:r>
        <w:rPr>
          <w:b/>
        </w:rPr>
        <w:t>URBROJ:2123-05-03-18-3</w:t>
      </w:r>
    </w:p>
    <w:p w:rsidR="004C7CB8" w:rsidRPr="00FB5AC4" w:rsidRDefault="00D9760D" w:rsidP="004C7CB8">
      <w:pPr>
        <w:rPr>
          <w:b/>
        </w:rPr>
      </w:pPr>
      <w:r>
        <w:rPr>
          <w:b/>
        </w:rPr>
        <w:t xml:space="preserve">Šandrovac, </w:t>
      </w:r>
      <w:r w:rsidR="00DA2658">
        <w:rPr>
          <w:b/>
        </w:rPr>
        <w:t>9</w:t>
      </w:r>
      <w:bookmarkStart w:id="0" w:name="_GoBack"/>
      <w:bookmarkEnd w:id="0"/>
      <w:r w:rsidR="004C7CB8">
        <w:rPr>
          <w:b/>
        </w:rPr>
        <w:t>.0</w:t>
      </w:r>
      <w:r>
        <w:rPr>
          <w:b/>
        </w:rPr>
        <w:t>3</w:t>
      </w:r>
      <w:r w:rsidR="004C7CB8">
        <w:rPr>
          <w:b/>
        </w:rPr>
        <w:t>.2018.</w:t>
      </w:r>
    </w:p>
    <w:p w:rsidR="00930053" w:rsidRDefault="0018722A" w:rsidP="004C7CB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4C7CB8" w:rsidRPr="00CA76B6" w:rsidRDefault="004C7CB8" w:rsidP="004C7CB8">
      <w:pPr>
        <w:rPr>
          <w:rFonts w:ascii="Arial Narrow" w:hAnsi="Arial Narrow"/>
          <w:sz w:val="22"/>
          <w:szCs w:val="22"/>
        </w:rPr>
      </w:pPr>
    </w:p>
    <w:p w:rsidR="009048CD" w:rsidRPr="004C7CB8" w:rsidRDefault="004C7CB8" w:rsidP="004C7CB8">
      <w:pPr>
        <w:jc w:val="both"/>
      </w:pPr>
      <w:r>
        <w:t>Na temelju</w:t>
      </w:r>
      <w:r w:rsidR="009048CD" w:rsidRPr="004C7CB8">
        <w:t xml:space="preserve"> odredbe članka 64.</w:t>
      </w:r>
      <w:r w:rsidR="00110993">
        <w:t xml:space="preserve"> stavak 1.</w:t>
      </w:r>
      <w:r w:rsidR="009048CD" w:rsidRPr="004C7CB8">
        <w:t xml:space="preserve"> Zakona o zaštiti okoliša („Narodne novine“ broj 80/13,</w:t>
      </w:r>
      <w:r w:rsidR="00236F96">
        <w:t xml:space="preserve"> </w:t>
      </w:r>
      <w:r w:rsidR="009048CD" w:rsidRPr="004C7CB8">
        <w:t>153/13 i 78/15), članka 5. stavak 4. Uredbe o strateškoj procjeni utjecaja strategije, plana i programa na okoliš („Narodne novine“ broj 3/17)</w:t>
      </w:r>
      <w:r w:rsidR="00236F96">
        <w:t xml:space="preserve"> i članka 58. Statuta Općine Šandrovac („Općinski glasnik općine Šandrovac“ broj 2/2018)</w:t>
      </w:r>
      <w:r w:rsidR="009048CD" w:rsidRPr="004C7CB8">
        <w:t xml:space="preserve"> </w:t>
      </w:r>
      <w:r>
        <w:t xml:space="preserve">općinski </w:t>
      </w:r>
      <w:r w:rsidR="009048CD" w:rsidRPr="004C7CB8">
        <w:t xml:space="preserve">načelnik Općine </w:t>
      </w:r>
      <w:r w:rsidR="00443ED4" w:rsidRPr="004C7CB8">
        <w:t>Šandrovac</w:t>
      </w:r>
      <w:r w:rsidR="002C4C0F" w:rsidRPr="004C7CB8">
        <w:t xml:space="preserve"> </w:t>
      </w:r>
      <w:r w:rsidR="009048CD" w:rsidRPr="004C7CB8">
        <w:t xml:space="preserve">donosi </w:t>
      </w:r>
    </w:p>
    <w:p w:rsidR="004C7CB8" w:rsidRDefault="004C7CB8" w:rsidP="004C7CB8">
      <w:pPr>
        <w:jc w:val="center"/>
        <w:rPr>
          <w:b/>
        </w:rPr>
      </w:pPr>
    </w:p>
    <w:p w:rsidR="009048CD" w:rsidRPr="004C7CB8" w:rsidRDefault="009048CD" w:rsidP="004C7CB8">
      <w:pPr>
        <w:jc w:val="center"/>
        <w:rPr>
          <w:b/>
        </w:rPr>
      </w:pPr>
      <w:r w:rsidRPr="004C7CB8">
        <w:rPr>
          <w:b/>
        </w:rPr>
        <w:t>ODLUKU</w:t>
      </w:r>
    </w:p>
    <w:p w:rsidR="004C7CB8" w:rsidRDefault="009048CD" w:rsidP="004C7CB8">
      <w:pPr>
        <w:jc w:val="center"/>
        <w:rPr>
          <w:b/>
        </w:rPr>
      </w:pPr>
      <w:r w:rsidRPr="004C7CB8">
        <w:rPr>
          <w:b/>
        </w:rPr>
        <w:t xml:space="preserve">o započinjanju postupka ocjene o potrebi strateške procjene utjecaja na okoliš </w:t>
      </w:r>
    </w:p>
    <w:p w:rsidR="004C7CB8" w:rsidRDefault="009048CD" w:rsidP="004C7CB8">
      <w:pPr>
        <w:jc w:val="center"/>
        <w:rPr>
          <w:b/>
        </w:rPr>
      </w:pPr>
      <w:r w:rsidRPr="004C7CB8">
        <w:rPr>
          <w:b/>
        </w:rPr>
        <w:t xml:space="preserve">nacrta Plana gospodarenja otpadom Općine </w:t>
      </w:r>
      <w:r w:rsidR="00443ED4" w:rsidRPr="004C7CB8">
        <w:rPr>
          <w:b/>
        </w:rPr>
        <w:t>Šandrovac</w:t>
      </w:r>
      <w:r w:rsidR="002C4C0F" w:rsidRPr="004C7CB8">
        <w:rPr>
          <w:b/>
        </w:rPr>
        <w:t xml:space="preserve"> </w:t>
      </w:r>
    </w:p>
    <w:p w:rsidR="009048CD" w:rsidRPr="004C7CB8" w:rsidRDefault="002C4C0F" w:rsidP="004C7CB8">
      <w:pPr>
        <w:jc w:val="center"/>
        <w:rPr>
          <w:b/>
        </w:rPr>
      </w:pPr>
      <w:r w:rsidRPr="004C7CB8">
        <w:rPr>
          <w:b/>
        </w:rPr>
        <w:t>za razdoblje od 2018. do 2023</w:t>
      </w:r>
      <w:r w:rsidR="009048CD" w:rsidRPr="004C7CB8">
        <w:rPr>
          <w:b/>
        </w:rPr>
        <w:t>. godine</w:t>
      </w:r>
    </w:p>
    <w:p w:rsidR="004C7CB8" w:rsidRPr="004C7CB8" w:rsidRDefault="004C7CB8" w:rsidP="004C7CB8">
      <w:pPr>
        <w:jc w:val="both"/>
      </w:pPr>
    </w:p>
    <w:p w:rsidR="009048CD" w:rsidRDefault="009048CD" w:rsidP="004C7CB8">
      <w:pPr>
        <w:jc w:val="center"/>
        <w:rPr>
          <w:b/>
        </w:rPr>
      </w:pPr>
      <w:r w:rsidRPr="004C7CB8">
        <w:rPr>
          <w:b/>
        </w:rPr>
        <w:t>Članak 1.</w:t>
      </w:r>
    </w:p>
    <w:p w:rsidR="00236F96" w:rsidRPr="00236F96" w:rsidRDefault="00236F96" w:rsidP="00236F96">
      <w:pPr>
        <w:jc w:val="both"/>
      </w:pPr>
      <w:r w:rsidRPr="00236F96">
        <w:t>Na temelju mišljenja Upravnog odjela za poljoprivredu, zaštitu okoliša i ruralni razvoj</w:t>
      </w:r>
      <w:r>
        <w:t xml:space="preserve"> </w:t>
      </w:r>
      <w:r w:rsidRPr="00236F96">
        <w:t>Bjelovarsko-bilogorske županije</w:t>
      </w:r>
      <w:r w:rsidR="00231B5B">
        <w:t xml:space="preserve"> (</w:t>
      </w:r>
      <w:r>
        <w:t>KLASA: 351-03/18-01/27, URBROJ</w:t>
      </w:r>
      <w:r w:rsidR="008C6030">
        <w:t>:2103/1-07-18-2) za</w:t>
      </w:r>
      <w:r>
        <w:t xml:space="preserve"> Plan gospodarenja otpadom Općine Šandrovac potrebno je provesti postupak ocjene  o potrebi strateške procjene utjecaja na okoliš.</w:t>
      </w:r>
    </w:p>
    <w:p w:rsidR="009048CD" w:rsidRDefault="007406DA" w:rsidP="004C7CB8">
      <w:pPr>
        <w:jc w:val="both"/>
      </w:pPr>
      <w:r>
        <w:t>Zbog navedenog, d</w:t>
      </w:r>
      <w:r w:rsidR="009048CD" w:rsidRPr="004C7CB8">
        <w:t xml:space="preserve">onošenjem ove Odluke započinje postupak ocjene o potrebi strateške procjene utjecaja na okoliš </w:t>
      </w:r>
      <w:r>
        <w:t xml:space="preserve">nacrta </w:t>
      </w:r>
      <w:r w:rsidR="009048CD" w:rsidRPr="004C7CB8">
        <w:t xml:space="preserve">Plana gospodarenja otpadom </w:t>
      </w:r>
      <w:r w:rsidR="00872A3D" w:rsidRPr="004C7CB8">
        <w:t xml:space="preserve">Općine </w:t>
      </w:r>
      <w:r w:rsidR="00443ED4" w:rsidRPr="004C7CB8">
        <w:t>Šandrovac</w:t>
      </w:r>
      <w:r w:rsidR="00872A3D" w:rsidRPr="004C7CB8">
        <w:t xml:space="preserve"> </w:t>
      </w:r>
      <w:r w:rsidR="002C4C0F" w:rsidRPr="004C7CB8">
        <w:t>za razdoblje od 2018. do 2023</w:t>
      </w:r>
      <w:r w:rsidR="009048CD" w:rsidRPr="004C7CB8">
        <w:t xml:space="preserve">. godine (dalje u tekstu: PGO </w:t>
      </w:r>
      <w:r w:rsidR="00872A3D" w:rsidRPr="004C7CB8">
        <w:t xml:space="preserve">Općine </w:t>
      </w:r>
      <w:r w:rsidR="00443ED4" w:rsidRPr="004C7CB8">
        <w:t>Šandrovac</w:t>
      </w:r>
      <w:r w:rsidR="009048CD" w:rsidRPr="004C7CB8">
        <w:t>).</w:t>
      </w:r>
    </w:p>
    <w:p w:rsidR="004C7CB8" w:rsidRDefault="004C7CB8" w:rsidP="004C7CB8">
      <w:pPr>
        <w:jc w:val="both"/>
      </w:pPr>
    </w:p>
    <w:p w:rsidR="009048CD" w:rsidRPr="004C7CB8" w:rsidRDefault="00872A3D" w:rsidP="004C7CB8">
      <w:pPr>
        <w:jc w:val="center"/>
        <w:rPr>
          <w:b/>
        </w:rPr>
      </w:pPr>
      <w:r w:rsidRPr="004C7CB8">
        <w:rPr>
          <w:b/>
        </w:rPr>
        <w:t>Članak 2.</w:t>
      </w:r>
    </w:p>
    <w:p w:rsidR="009048CD" w:rsidRDefault="009048CD" w:rsidP="004C7CB8">
      <w:pPr>
        <w:jc w:val="both"/>
      </w:pPr>
      <w:r w:rsidRPr="004C7CB8">
        <w:t>Nadležno tijelo za provedbu postupka ocjene o potrebi strateš</w:t>
      </w:r>
      <w:r w:rsidR="007406DA">
        <w:t>ke procjene utjecaja na okoliš n</w:t>
      </w:r>
      <w:r w:rsidRPr="004C7CB8">
        <w:t xml:space="preserve">acrta PGO – a </w:t>
      </w:r>
      <w:r w:rsidR="00872A3D" w:rsidRPr="004C7CB8">
        <w:t xml:space="preserve">Općine </w:t>
      </w:r>
      <w:r w:rsidR="00443ED4" w:rsidRPr="004C7CB8">
        <w:t>Šandrovac</w:t>
      </w:r>
      <w:r w:rsidRPr="004C7CB8">
        <w:t xml:space="preserve"> je Jedinstveni upravni odjel </w:t>
      </w:r>
      <w:r w:rsidR="00872A3D" w:rsidRPr="004C7CB8">
        <w:t xml:space="preserve">Općine </w:t>
      </w:r>
      <w:r w:rsidR="00443ED4" w:rsidRPr="004C7CB8">
        <w:t>Šandrovac</w:t>
      </w:r>
      <w:r w:rsidR="00E44FC6" w:rsidRPr="004C7CB8">
        <w:t>.</w:t>
      </w:r>
    </w:p>
    <w:p w:rsidR="004C7CB8" w:rsidRDefault="004C7CB8" w:rsidP="004C7CB8">
      <w:pPr>
        <w:jc w:val="both"/>
      </w:pPr>
    </w:p>
    <w:p w:rsidR="009048CD" w:rsidRPr="004C7CB8" w:rsidRDefault="00872A3D" w:rsidP="004C7CB8">
      <w:pPr>
        <w:jc w:val="center"/>
        <w:rPr>
          <w:b/>
        </w:rPr>
      </w:pPr>
      <w:r w:rsidRPr="004C7CB8">
        <w:rPr>
          <w:b/>
        </w:rPr>
        <w:t>Članak 3.</w:t>
      </w:r>
    </w:p>
    <w:p w:rsidR="00AB050B" w:rsidRDefault="00AB050B" w:rsidP="00AB050B">
      <w:pPr>
        <w:jc w:val="both"/>
      </w:pPr>
      <w:r w:rsidRPr="004C7CB8">
        <w:t>Razlog za donošenje PGO Šandrovac proizlazi iz obveze propisane odredbama Zakona o održivom gospodarenju otpadom (</w:t>
      </w:r>
      <w:r>
        <w:t>„</w:t>
      </w:r>
      <w:r w:rsidRPr="004C7CB8">
        <w:t>N</w:t>
      </w:r>
      <w:r>
        <w:t xml:space="preserve">arodne </w:t>
      </w:r>
      <w:r w:rsidRPr="004C7CB8">
        <w:t>N</w:t>
      </w:r>
      <w:r>
        <w:t xml:space="preserve">ovine“ broj </w:t>
      </w:r>
      <w:r w:rsidRPr="004C7CB8">
        <w:t xml:space="preserve"> 94/13 i 73/17)</w:t>
      </w:r>
      <w:r>
        <w:t xml:space="preserve"> i </w:t>
      </w:r>
      <w:r w:rsidRPr="004C7CB8">
        <w:t>Plan</w:t>
      </w:r>
      <w:r>
        <w:t>a</w:t>
      </w:r>
      <w:r w:rsidRPr="004C7CB8">
        <w:t xml:space="preserve"> gospodarenja otpadom Republike Hrvatske za razdoblje 2018. – 2023. godine,</w:t>
      </w:r>
      <w:r>
        <w:t xml:space="preserve"> s obzirom da je PGO Šandrovac strateški dokument potreban za učinkovito gospodarenje otpadom na području Općine Šandrovac.</w:t>
      </w:r>
    </w:p>
    <w:p w:rsidR="00AB050B" w:rsidRDefault="00AB050B" w:rsidP="00AB050B">
      <w:pPr>
        <w:jc w:val="both"/>
      </w:pPr>
    </w:p>
    <w:p w:rsidR="00AB050B" w:rsidRPr="004C7CB8" w:rsidRDefault="00AB050B" w:rsidP="00AB050B">
      <w:pPr>
        <w:jc w:val="center"/>
        <w:rPr>
          <w:b/>
        </w:rPr>
      </w:pPr>
      <w:r w:rsidRPr="004C7CB8">
        <w:rPr>
          <w:b/>
        </w:rPr>
        <w:t>Članak 4.</w:t>
      </w:r>
    </w:p>
    <w:p w:rsidR="009048CD" w:rsidRDefault="009048CD" w:rsidP="004C7CB8">
      <w:pPr>
        <w:jc w:val="both"/>
      </w:pPr>
      <w:r w:rsidRPr="004C7CB8">
        <w:t>P</w:t>
      </w:r>
      <w:r w:rsidR="00AB050B">
        <w:t xml:space="preserve">ostupak </w:t>
      </w:r>
      <w:r w:rsidR="00595367">
        <w:t xml:space="preserve">ocjene  o potrebi strateške procjene utjecaja na okoliš </w:t>
      </w:r>
      <w:r w:rsidR="00AB050B">
        <w:t xml:space="preserve">se provodi budući da </w:t>
      </w:r>
      <w:r w:rsidR="00872A3D" w:rsidRPr="004C7CB8">
        <w:t xml:space="preserve">PGO Općine </w:t>
      </w:r>
      <w:r w:rsidR="00443ED4" w:rsidRPr="004C7CB8">
        <w:t>Šandrovac</w:t>
      </w:r>
      <w:r w:rsidR="00872A3D" w:rsidRPr="004C7CB8">
        <w:t xml:space="preserve"> </w:t>
      </w:r>
      <w:r w:rsidR="00AB050B">
        <w:t xml:space="preserve">treba biti </w:t>
      </w:r>
      <w:r w:rsidR="00872A3D" w:rsidRPr="004C7CB8">
        <w:t xml:space="preserve">usklađen s </w:t>
      </w:r>
      <w:r w:rsidRPr="004C7CB8">
        <w:t>Plan</w:t>
      </w:r>
      <w:r w:rsidR="00872A3D" w:rsidRPr="004C7CB8">
        <w:t>om</w:t>
      </w:r>
      <w:r w:rsidRPr="004C7CB8">
        <w:t xml:space="preserve"> gospodarenja otpadom Repu</w:t>
      </w:r>
      <w:r w:rsidR="00F45ED6" w:rsidRPr="004C7CB8">
        <w:t>blike Hrvatske za razdoblje 2018. – 2023</w:t>
      </w:r>
      <w:r w:rsidRPr="004C7CB8">
        <w:t>. godine,</w:t>
      </w:r>
      <w:r w:rsidR="00872A3D" w:rsidRPr="004C7CB8">
        <w:t xml:space="preserve"> a za koji je,</w:t>
      </w:r>
      <w:r w:rsidRPr="004C7CB8">
        <w:t xml:space="preserve"> kao dokument više hijerarhijske razine</w:t>
      </w:r>
      <w:r w:rsidR="00872A3D" w:rsidRPr="004C7CB8">
        <w:t>,</w:t>
      </w:r>
      <w:r w:rsidRPr="004C7CB8">
        <w:t xml:space="preserve"> proveden </w:t>
      </w:r>
      <w:r w:rsidRPr="004C7CB8">
        <w:lastRenderedPageBreak/>
        <w:t xml:space="preserve">postupak strateške procjene, </w:t>
      </w:r>
      <w:r w:rsidR="00CA76B6" w:rsidRPr="004C7CB8">
        <w:t xml:space="preserve"> </w:t>
      </w:r>
      <w:r w:rsidR="00872A3D" w:rsidRPr="004C7CB8">
        <w:t>te</w:t>
      </w:r>
      <w:r w:rsidRPr="004C7CB8">
        <w:t xml:space="preserve"> za PGO </w:t>
      </w:r>
      <w:r w:rsidR="00443ED4" w:rsidRPr="004C7CB8">
        <w:t>Šandrovac</w:t>
      </w:r>
      <w:r w:rsidR="00E44FC6" w:rsidRPr="004C7CB8">
        <w:t xml:space="preserve"> </w:t>
      </w:r>
      <w:r w:rsidRPr="004C7CB8">
        <w:t>nije potrebno provesti stratešku procjenu utjecaja na okoliš, ali je potrebno provesti postupak ocjene o potrebi strateške procjene</w:t>
      </w:r>
      <w:r w:rsidR="00AB050B">
        <w:t xml:space="preserve"> utjecaja na okoliš</w:t>
      </w:r>
      <w:r w:rsidRPr="004C7CB8">
        <w:t xml:space="preserve">. </w:t>
      </w:r>
    </w:p>
    <w:p w:rsidR="00A2292A" w:rsidRDefault="00A2292A" w:rsidP="004C7CB8">
      <w:pPr>
        <w:jc w:val="both"/>
      </w:pPr>
    </w:p>
    <w:p w:rsidR="009048CD" w:rsidRPr="004C7CB8" w:rsidRDefault="00872A3D" w:rsidP="004C7CB8">
      <w:pPr>
        <w:jc w:val="center"/>
        <w:rPr>
          <w:b/>
        </w:rPr>
      </w:pPr>
      <w:r w:rsidRPr="004C7CB8">
        <w:rPr>
          <w:b/>
        </w:rPr>
        <w:t>Članak 5.</w:t>
      </w:r>
    </w:p>
    <w:p w:rsidR="00110993" w:rsidRDefault="009048CD" w:rsidP="004C7CB8">
      <w:pPr>
        <w:jc w:val="both"/>
      </w:pPr>
      <w:r w:rsidRPr="004C7CB8">
        <w:t xml:space="preserve">Cilj donošenja PGO - a </w:t>
      </w:r>
      <w:r w:rsidR="00443ED4" w:rsidRPr="004C7CB8">
        <w:t>Šandrovac</w:t>
      </w:r>
      <w:r w:rsidR="00E44FC6" w:rsidRPr="004C7CB8">
        <w:t xml:space="preserve"> </w:t>
      </w:r>
      <w:r w:rsidRPr="004C7CB8">
        <w:t>je dodatno unaprjeđenje sustava gospodarenja otpadom</w:t>
      </w:r>
      <w:r w:rsidR="00443ED4" w:rsidRPr="004C7CB8">
        <w:t xml:space="preserve"> na</w:t>
      </w:r>
      <w:r w:rsidRPr="004C7CB8">
        <w:t xml:space="preserve"> području </w:t>
      </w:r>
      <w:r w:rsidR="00872A3D" w:rsidRPr="004C7CB8">
        <w:t>općine</w:t>
      </w:r>
      <w:r w:rsidRPr="004C7CB8">
        <w:t xml:space="preserve"> u skladu s relevantnim zakonskim i pod</w:t>
      </w:r>
      <w:r w:rsidR="00BC16C3" w:rsidRPr="004C7CB8">
        <w:t>-</w:t>
      </w:r>
      <w:r w:rsidR="00CA76B6" w:rsidRPr="004C7CB8">
        <w:t>zakonskim odredbama te</w:t>
      </w:r>
      <w:r w:rsidRPr="004C7CB8">
        <w:t xml:space="preserve"> s</w:t>
      </w:r>
      <w:r w:rsidR="00CC79B0" w:rsidRPr="004C7CB8">
        <w:t>a specifičnim ciljevima i zahtjevima općine</w:t>
      </w:r>
      <w:r w:rsidR="00CA76B6" w:rsidRPr="004C7CB8">
        <w:t xml:space="preserve">. </w:t>
      </w:r>
    </w:p>
    <w:p w:rsidR="009048CD" w:rsidRPr="004C7CB8" w:rsidRDefault="00CA76B6" w:rsidP="004C7CB8">
      <w:pPr>
        <w:jc w:val="both"/>
      </w:pPr>
      <w:r w:rsidRPr="004C7CB8">
        <w:t>Osnovni ciljevi su</w:t>
      </w:r>
      <w:r w:rsidR="009048CD" w:rsidRPr="004C7CB8">
        <w:t xml:space="preserve"> </w:t>
      </w:r>
      <w:r w:rsidRPr="004C7CB8">
        <w:t>smanjenje</w:t>
      </w:r>
      <w:r w:rsidR="009048CD" w:rsidRPr="004C7CB8">
        <w:t xml:space="preserve"> ukupne količine proizvedenog komunalnog otpada, povećanje količine odvajanja i odvojenog prikupljanja otpada i </w:t>
      </w:r>
      <w:r w:rsidR="00443ED4" w:rsidRPr="004C7CB8">
        <w:t xml:space="preserve">odvojeno zbrinjavanje i/ili prikupljanje </w:t>
      </w:r>
      <w:proofErr w:type="spellStart"/>
      <w:r w:rsidR="009048CD" w:rsidRPr="004C7CB8">
        <w:t>biootpada</w:t>
      </w:r>
      <w:proofErr w:type="spellEnd"/>
      <w:r w:rsidR="009048CD" w:rsidRPr="004C7CB8">
        <w:t xml:space="preserve"> iz miješanog komunalnog otpada, odnosno smanjenje </w:t>
      </w:r>
      <w:r w:rsidR="00443ED4" w:rsidRPr="004C7CB8">
        <w:t xml:space="preserve">ukupne </w:t>
      </w:r>
      <w:r w:rsidR="009048CD" w:rsidRPr="004C7CB8">
        <w:t>količine otpada za konačno odlaganje</w:t>
      </w:r>
      <w:r w:rsidRPr="004C7CB8">
        <w:t xml:space="preserve"> </w:t>
      </w:r>
      <w:r w:rsidR="00443ED4" w:rsidRPr="004C7CB8">
        <w:t>provođenjem</w:t>
      </w:r>
      <w:r w:rsidR="009048CD" w:rsidRPr="004C7CB8">
        <w:t xml:space="preserve"> </w:t>
      </w:r>
      <w:r w:rsidRPr="004C7CB8">
        <w:t>edukacije</w:t>
      </w:r>
      <w:r w:rsidR="009048CD" w:rsidRPr="004C7CB8">
        <w:t xml:space="preserve"> stanovništva i unaprjeđenje</w:t>
      </w:r>
      <w:r w:rsidR="00443ED4" w:rsidRPr="004C7CB8">
        <w:t xml:space="preserve">m </w:t>
      </w:r>
      <w:r w:rsidR="009048CD" w:rsidRPr="004C7CB8">
        <w:t>nadzora nad sustavom gospodarenja otpadom.</w:t>
      </w:r>
    </w:p>
    <w:p w:rsidR="004C7CB8" w:rsidRPr="004C7CB8" w:rsidRDefault="004C7CB8" w:rsidP="004C7CB8">
      <w:pPr>
        <w:jc w:val="both"/>
      </w:pPr>
    </w:p>
    <w:p w:rsidR="009048CD" w:rsidRPr="004C7CB8" w:rsidRDefault="00872A3D" w:rsidP="004C7CB8">
      <w:pPr>
        <w:jc w:val="center"/>
        <w:rPr>
          <w:b/>
        </w:rPr>
      </w:pPr>
      <w:r w:rsidRPr="004C7CB8">
        <w:rPr>
          <w:b/>
        </w:rPr>
        <w:t>Članak 6.</w:t>
      </w:r>
    </w:p>
    <w:p w:rsidR="00B736AF" w:rsidRPr="004C7CB8" w:rsidRDefault="009048CD" w:rsidP="004C7CB8">
      <w:pPr>
        <w:jc w:val="both"/>
      </w:pPr>
      <w:r w:rsidRPr="004C7CB8">
        <w:t xml:space="preserve">PGO </w:t>
      </w:r>
      <w:r w:rsidR="00443ED4" w:rsidRPr="004C7CB8">
        <w:t xml:space="preserve">Šandrovac </w:t>
      </w:r>
      <w:r w:rsidR="00E44FC6" w:rsidRPr="004C7CB8">
        <w:t xml:space="preserve"> </w:t>
      </w:r>
      <w:r w:rsidRPr="004C7CB8">
        <w:t>obuhvatiti će</w:t>
      </w:r>
      <w:r w:rsidRPr="004C7CB8">
        <w:rPr>
          <w:color w:val="FF0000"/>
        </w:rPr>
        <w:t xml:space="preserve"> </w:t>
      </w:r>
      <w:r w:rsidRPr="004C7CB8">
        <w:t xml:space="preserve">sustav gospodarenja otpadom na cjelokupnom području </w:t>
      </w:r>
      <w:r w:rsidR="00B736AF" w:rsidRPr="004C7CB8">
        <w:t>općine</w:t>
      </w:r>
      <w:r w:rsidRPr="004C7CB8">
        <w:t xml:space="preserve"> uspostavljanjem funkcionalnijeg sustava gospodarenja otpadom usklađenog sa standardima Europske unije</w:t>
      </w:r>
      <w:r w:rsidR="00443ED4" w:rsidRPr="004C7CB8">
        <w:t xml:space="preserve"> </w:t>
      </w:r>
      <w:r w:rsidR="004C7CB8">
        <w:t>te smjernicama P</w:t>
      </w:r>
      <w:r w:rsidR="00443ED4" w:rsidRPr="004C7CB8">
        <w:t xml:space="preserve">lana </w:t>
      </w:r>
      <w:r w:rsidR="004C7CB8">
        <w:t>gospodarenja otpadom Republike H</w:t>
      </w:r>
      <w:r w:rsidR="00443ED4" w:rsidRPr="004C7CB8">
        <w:t>rvatske za razdoblje 2017.-2022.</w:t>
      </w:r>
    </w:p>
    <w:p w:rsidR="00595367" w:rsidRPr="004C7CB8" w:rsidRDefault="00595367" w:rsidP="00595367">
      <w:pPr>
        <w:jc w:val="both"/>
      </w:pPr>
      <w:r w:rsidRPr="004C7CB8">
        <w:t>Polazište</w:t>
      </w:r>
      <w:r>
        <w:t xml:space="preserve"> za njegovu izradu</w:t>
      </w:r>
      <w:r w:rsidRPr="004C7CB8">
        <w:t xml:space="preserve"> je činjenica da se prikupljanje, odvoz i zbrinjavanje otpada trenutno provode na cijelom području općine, u svih 7 naselja te da se na području općine nalazi ukupno 6 zelenih otoka. Na zelenim otocima građanima je omogućeno odvojeno odlaganje otpada (papir, staklo, plastika, metal) u postavljene kontejnere.</w:t>
      </w:r>
    </w:p>
    <w:p w:rsidR="00B736AF" w:rsidRPr="004C7CB8" w:rsidRDefault="00B736AF" w:rsidP="004C7CB8">
      <w:pPr>
        <w:jc w:val="both"/>
      </w:pPr>
    </w:p>
    <w:p w:rsidR="00B736AF" w:rsidRPr="004C7CB8" w:rsidRDefault="00595367" w:rsidP="004C7CB8">
      <w:pPr>
        <w:jc w:val="center"/>
        <w:rPr>
          <w:b/>
        </w:rPr>
      </w:pPr>
      <w:r>
        <w:rPr>
          <w:b/>
        </w:rPr>
        <w:t>Članak 7</w:t>
      </w:r>
      <w:r w:rsidR="00B736AF" w:rsidRPr="004C7CB8">
        <w:rPr>
          <w:b/>
        </w:rPr>
        <w:t>.</w:t>
      </w:r>
    </w:p>
    <w:p w:rsidR="009048CD" w:rsidRDefault="009048CD" w:rsidP="004C7CB8">
      <w:pPr>
        <w:jc w:val="both"/>
      </w:pPr>
      <w:r w:rsidRPr="004C7CB8">
        <w:t xml:space="preserve">Radnje koje će se provesti u postupku ocjene o potrebi strateške procjene utjecaja na okoliš Nacrta PGO - a </w:t>
      </w:r>
      <w:r w:rsidR="00443ED4" w:rsidRPr="004C7CB8">
        <w:t>Šandrovac</w:t>
      </w:r>
      <w:r w:rsidR="00E44FC6" w:rsidRPr="004C7CB8">
        <w:t xml:space="preserve"> </w:t>
      </w:r>
      <w:r w:rsidRPr="004C7CB8">
        <w:t xml:space="preserve">provode se sukladno odredbama </w:t>
      </w:r>
      <w:r w:rsidRPr="004C7CB8">
        <w:rPr>
          <w:i/>
        </w:rPr>
        <w:t>Zakona o zaštiti okoliša („Narodne novine“ broj 80/13, 153/13 i 78/15)</w:t>
      </w:r>
      <w:r w:rsidRPr="004C7CB8">
        <w:t xml:space="preserve">, </w:t>
      </w:r>
      <w:r w:rsidRPr="004C7CB8">
        <w:rPr>
          <w:i/>
        </w:rPr>
        <w:t>Zakona o održivom gospodarenju otpadom („Narodne novine“ broj 94/13</w:t>
      </w:r>
      <w:r w:rsidR="00B736AF" w:rsidRPr="004C7CB8">
        <w:rPr>
          <w:i/>
        </w:rPr>
        <w:t xml:space="preserve"> i 78/17</w:t>
      </w:r>
      <w:r w:rsidRPr="004C7CB8">
        <w:rPr>
          <w:i/>
        </w:rPr>
        <w:t>)</w:t>
      </w:r>
      <w:r w:rsidRPr="004C7CB8">
        <w:t xml:space="preserve"> i </w:t>
      </w:r>
      <w:r w:rsidRPr="004C7CB8">
        <w:rPr>
          <w:i/>
        </w:rPr>
        <w:t>Uredbe o strateškoj procjeni utjecaja strategije, plana i programa na okoliš („Narodne novine“ broj 3/17)</w:t>
      </w:r>
      <w:r w:rsidRPr="004C7CB8">
        <w:t xml:space="preserve"> i to redoslijedom provedbe kako je navedeno u Prilogu 1. ove Odluke. </w:t>
      </w:r>
    </w:p>
    <w:p w:rsidR="004C7CB8" w:rsidRPr="004C7CB8" w:rsidRDefault="004C7CB8" w:rsidP="004C7CB8">
      <w:pPr>
        <w:jc w:val="both"/>
      </w:pPr>
    </w:p>
    <w:p w:rsidR="009048CD" w:rsidRPr="004C7CB8" w:rsidRDefault="00595367" w:rsidP="004C7CB8">
      <w:pPr>
        <w:jc w:val="center"/>
        <w:rPr>
          <w:b/>
        </w:rPr>
      </w:pPr>
      <w:r>
        <w:rPr>
          <w:b/>
        </w:rPr>
        <w:t>Članak 8</w:t>
      </w:r>
      <w:r w:rsidR="00B736AF" w:rsidRPr="004C7CB8">
        <w:rPr>
          <w:b/>
        </w:rPr>
        <w:t>.</w:t>
      </w:r>
    </w:p>
    <w:p w:rsidR="009048CD" w:rsidRPr="004C7CB8" w:rsidRDefault="009048CD" w:rsidP="004C7CB8">
      <w:pPr>
        <w:jc w:val="both"/>
      </w:pPr>
      <w:r w:rsidRPr="004C7CB8">
        <w:t>U postupku ocjene o provedbi strateške procjene prema ovoj Odluci sudjelovat će tijela i osobe koje su navedene u Prilogu 2. ove Odluke.</w:t>
      </w:r>
    </w:p>
    <w:p w:rsidR="009048CD" w:rsidRPr="004C7CB8" w:rsidRDefault="009048CD" w:rsidP="004C7CB8">
      <w:pPr>
        <w:jc w:val="both"/>
      </w:pPr>
    </w:p>
    <w:p w:rsidR="009048CD" w:rsidRPr="004C7CB8" w:rsidRDefault="00436A6F" w:rsidP="004C7CB8">
      <w:pPr>
        <w:jc w:val="center"/>
        <w:rPr>
          <w:b/>
        </w:rPr>
      </w:pPr>
      <w:r w:rsidRPr="004C7CB8">
        <w:rPr>
          <w:b/>
        </w:rPr>
        <w:t>Č</w:t>
      </w:r>
      <w:r w:rsidR="00595367">
        <w:rPr>
          <w:b/>
        </w:rPr>
        <w:t>lanak 9</w:t>
      </w:r>
      <w:r w:rsidR="00B736AF" w:rsidRPr="004C7CB8">
        <w:rPr>
          <w:b/>
        </w:rPr>
        <w:t>.</w:t>
      </w:r>
    </w:p>
    <w:p w:rsidR="009048CD" w:rsidRPr="004C7CB8" w:rsidRDefault="009048CD" w:rsidP="004C7CB8">
      <w:pPr>
        <w:jc w:val="both"/>
      </w:pPr>
      <w:r w:rsidRPr="004C7CB8">
        <w:t xml:space="preserve">Jedinstveni upravni odjel </w:t>
      </w:r>
      <w:r w:rsidR="00443ED4" w:rsidRPr="004C7CB8">
        <w:t>Šandrovac</w:t>
      </w:r>
      <w:r w:rsidR="00E44FC6" w:rsidRPr="004C7CB8">
        <w:t xml:space="preserve"> </w:t>
      </w:r>
      <w:r w:rsidRPr="004C7CB8">
        <w:t xml:space="preserve">će o ovoj Odluci informirati javnost sukladno odredbama </w:t>
      </w:r>
      <w:r w:rsidR="00302904" w:rsidRPr="004C7CB8">
        <w:rPr>
          <w:i/>
        </w:rPr>
        <w:t>Zakona o zaštiti okoliša („Narodne novine“ broj 80/13, 153/13 i 78/15)</w:t>
      </w:r>
      <w:r w:rsidRPr="004C7CB8">
        <w:t xml:space="preserve"> i </w:t>
      </w:r>
      <w:r w:rsidRPr="004C7CB8">
        <w:rPr>
          <w:i/>
        </w:rPr>
        <w:t>Uredbe o informiranju i sudjelovanju javnosti i zainteresirane javnosti o pitanjima zaštite okoliša („Narodne novine“ br. 64/08)</w:t>
      </w:r>
      <w:r w:rsidRPr="004C7CB8">
        <w:t xml:space="preserve"> kojima se uređuje informiranje i sudjelovanje zainteresirane javnosti u pitanjima zaštite okoliša. </w:t>
      </w:r>
    </w:p>
    <w:p w:rsidR="009048CD" w:rsidRPr="004C7CB8" w:rsidRDefault="009048CD" w:rsidP="004C7CB8">
      <w:pPr>
        <w:jc w:val="both"/>
      </w:pPr>
    </w:p>
    <w:p w:rsidR="009048CD" w:rsidRPr="004C7CB8" w:rsidRDefault="00595367" w:rsidP="004C7CB8">
      <w:pPr>
        <w:jc w:val="center"/>
        <w:rPr>
          <w:b/>
        </w:rPr>
      </w:pPr>
      <w:r>
        <w:rPr>
          <w:b/>
        </w:rPr>
        <w:t>Članak 10</w:t>
      </w:r>
      <w:r w:rsidR="00436A6F" w:rsidRPr="004C7CB8">
        <w:rPr>
          <w:b/>
        </w:rPr>
        <w:t>.</w:t>
      </w:r>
    </w:p>
    <w:p w:rsidR="009048CD" w:rsidRPr="004C7CB8" w:rsidRDefault="009048CD" w:rsidP="004C7CB8">
      <w:pPr>
        <w:jc w:val="both"/>
        <w:rPr>
          <w:color w:val="FF0000"/>
        </w:rPr>
      </w:pPr>
      <w:r w:rsidRPr="004C7CB8">
        <w:t xml:space="preserve">Ova Odluka stupa na snagu </w:t>
      </w:r>
      <w:r w:rsidR="007B6C59" w:rsidRPr="004C7CB8">
        <w:t xml:space="preserve">danom donošenja, a objavit će se na službenim </w:t>
      </w:r>
      <w:r w:rsidR="00CA76B6" w:rsidRPr="004C7CB8">
        <w:t xml:space="preserve">internetskim </w:t>
      </w:r>
      <w:r w:rsidR="007B6C59" w:rsidRPr="004C7CB8">
        <w:t xml:space="preserve">stranicama </w:t>
      </w:r>
      <w:r w:rsidR="00443ED4" w:rsidRPr="004C7CB8">
        <w:t>Općine Šandrovac</w:t>
      </w:r>
      <w:r w:rsidR="00110993">
        <w:t xml:space="preserve"> www.sandrovac.hr</w:t>
      </w:r>
      <w:r w:rsidR="00E44FC6" w:rsidRPr="004C7CB8">
        <w:t xml:space="preserve"> </w:t>
      </w:r>
      <w:r w:rsidR="007B6C59" w:rsidRPr="004C7CB8">
        <w:t xml:space="preserve">i u </w:t>
      </w:r>
      <w:r w:rsidR="00110993">
        <w:t>„</w:t>
      </w:r>
      <w:r w:rsidR="004C7CB8">
        <w:t>Općinskom</w:t>
      </w:r>
      <w:r w:rsidR="007B6C59" w:rsidRPr="004C7CB8">
        <w:t xml:space="preserve"> </w:t>
      </w:r>
      <w:r w:rsidR="004C7CB8">
        <w:t>glasniku</w:t>
      </w:r>
      <w:r w:rsidR="00443ED4" w:rsidRPr="004C7CB8">
        <w:t xml:space="preserve"> Općine Šandrovac</w:t>
      </w:r>
      <w:r w:rsidR="00110993">
        <w:t>“</w:t>
      </w:r>
      <w:r w:rsidR="007B6C59" w:rsidRPr="004C7CB8">
        <w:t>.</w:t>
      </w:r>
    </w:p>
    <w:p w:rsidR="004C7CB8" w:rsidRDefault="00110993" w:rsidP="00110993">
      <w:pPr>
        <w:ind w:left="4956"/>
      </w:pPr>
      <w:r>
        <w:t xml:space="preserve">    Općinski načelnik Općine Šandrovac</w:t>
      </w:r>
      <w:r w:rsidRPr="00372EEA">
        <w:t xml:space="preserve">                                                       </w:t>
      </w:r>
      <w:r>
        <w:t xml:space="preserve">       </w:t>
      </w:r>
      <w:r>
        <w:tab/>
        <w:t xml:space="preserve">        </w:t>
      </w:r>
      <w:r w:rsidRPr="004C7CB8">
        <w:rPr>
          <w:i/>
        </w:rPr>
        <w:t xml:space="preserve">Josip </w:t>
      </w:r>
      <w:proofErr w:type="spellStart"/>
      <w:r w:rsidRPr="004C7CB8">
        <w:rPr>
          <w:i/>
        </w:rPr>
        <w:t>Dekalić</w:t>
      </w:r>
      <w:proofErr w:type="spellEnd"/>
      <w:r w:rsidRPr="004C7CB8">
        <w:rPr>
          <w:i/>
        </w:rPr>
        <w:t xml:space="preserve">          </w:t>
      </w:r>
      <w:r w:rsidR="004C7CB8">
        <w:tab/>
      </w:r>
      <w:r w:rsidR="004C7CB8">
        <w:tab/>
      </w:r>
      <w:r w:rsidR="004C7CB8">
        <w:tab/>
        <w:t xml:space="preserve">           </w:t>
      </w:r>
    </w:p>
    <w:p w:rsidR="009048CD" w:rsidRPr="004C7CB8" w:rsidRDefault="009048CD" w:rsidP="00443ED4">
      <w:pPr>
        <w:spacing w:before="120" w:after="120" w:line="276" w:lineRule="auto"/>
        <w:jc w:val="both"/>
        <w:rPr>
          <w:b/>
        </w:rPr>
      </w:pPr>
      <w:r w:rsidRPr="004C7CB8">
        <w:rPr>
          <w:b/>
        </w:rPr>
        <w:lastRenderedPageBreak/>
        <w:t xml:space="preserve">PRILOG 1. </w:t>
      </w:r>
    </w:p>
    <w:p w:rsidR="009048CD" w:rsidRPr="004C7CB8" w:rsidRDefault="009048CD" w:rsidP="00443ED4">
      <w:pPr>
        <w:spacing w:before="120" w:after="120" w:line="276" w:lineRule="auto"/>
        <w:jc w:val="both"/>
        <w:rPr>
          <w:b/>
        </w:rPr>
      </w:pP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Redoslijed radnji koje će se provesti u postupku ocjene o potrebi strateške procjene utjecaja na okoliš Nacrta prijedloga Plana gospodarenja otpadom </w:t>
      </w:r>
      <w:r w:rsidR="00443ED4" w:rsidRPr="004C7CB8">
        <w:t>Šandrovac</w:t>
      </w:r>
      <w:r w:rsidR="00E44FC6" w:rsidRPr="004C7CB8">
        <w:t xml:space="preserve"> za razdoblje od 2018. – 2023</w:t>
      </w:r>
      <w:r w:rsidRPr="004C7CB8">
        <w:t xml:space="preserve">. godine: 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1. Temeljem članka 64. stavak 1. </w:t>
      </w:r>
      <w:r w:rsidRPr="004C7CB8">
        <w:rPr>
          <w:i/>
        </w:rPr>
        <w:t>Zakona o zaštiti okoliša („Narodne novine“ broj 80/13,153/13 i 78/15, dalje u tekstu: Zakon o zaštiti okoliša</w:t>
      </w:r>
      <w:r w:rsidRPr="004C7CB8">
        <w:t xml:space="preserve">) </w:t>
      </w:r>
      <w:r w:rsidR="00110993">
        <w:t xml:space="preserve">općinski </w:t>
      </w:r>
      <w:r w:rsidR="00302904" w:rsidRPr="004C7CB8">
        <w:t>načelnik</w:t>
      </w:r>
      <w:r w:rsidRPr="004C7CB8">
        <w:t xml:space="preserve"> donosi Odluku o započinjanju postupka ocjene o potrebi strateške procjene utjecaja na okoliš Nacrta Plana gospodarenja otpadom </w:t>
      </w:r>
      <w:r w:rsidR="00443ED4" w:rsidRPr="004C7CB8">
        <w:t>Šandrovac</w:t>
      </w:r>
      <w:r w:rsidR="00E44FC6" w:rsidRPr="004C7CB8">
        <w:t xml:space="preserve"> </w:t>
      </w:r>
      <w:r w:rsidRPr="004C7CB8">
        <w:t>za razdo</w:t>
      </w:r>
      <w:r w:rsidR="00E44FC6" w:rsidRPr="004C7CB8">
        <w:t>blje od 2018. – 2023</w:t>
      </w:r>
      <w:r w:rsidRPr="004C7CB8">
        <w:t xml:space="preserve">. godine (dalje u tekstu: PGO </w:t>
      </w:r>
      <w:r w:rsidR="00443ED4" w:rsidRPr="004C7CB8">
        <w:t>Šandrovac</w:t>
      </w:r>
      <w:r w:rsidRPr="004C7CB8">
        <w:t xml:space="preserve">). 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2. U roku od 8 dana od dana donošenja Odluke </w:t>
      </w:r>
      <w:r w:rsidR="00B736AF" w:rsidRPr="004C7CB8">
        <w:t>načelnika</w:t>
      </w:r>
      <w:r w:rsidRPr="004C7CB8">
        <w:t xml:space="preserve"> o započinjanju postupka ocjene o potrebi strateške procjene utjecaja na okoliša PGO – a </w:t>
      </w:r>
      <w:r w:rsidR="00443ED4" w:rsidRPr="004C7CB8">
        <w:t>Šandrovac</w:t>
      </w:r>
      <w:r w:rsidR="00302904" w:rsidRPr="004C7CB8">
        <w:t>,</w:t>
      </w:r>
      <w:r w:rsidR="00E44FC6" w:rsidRPr="004C7CB8">
        <w:t xml:space="preserve"> </w:t>
      </w:r>
      <w:r w:rsidRPr="004C7CB8">
        <w:t xml:space="preserve">Jedinstveni upravni odjel </w:t>
      </w:r>
      <w:r w:rsidR="00443ED4" w:rsidRPr="004C7CB8">
        <w:t xml:space="preserve">Šandrovac </w:t>
      </w:r>
      <w:r w:rsidRPr="004C7CB8">
        <w:t xml:space="preserve">(članak 66. stavak 2. Zakona o zaštiti okoliša) dostavlja </w:t>
      </w:r>
      <w:r w:rsidR="00E44FC6" w:rsidRPr="004C7CB8">
        <w:t xml:space="preserve">javnopravnim tijelima </w:t>
      </w:r>
      <w:r w:rsidRPr="004C7CB8">
        <w:t>i/ili osobama određenim posebnim propisima za zaštitu okoliša i zdravlje, tijelima županije i drugim tijelima zahtjev za davanje mišljenja o potrebi strateške procjene.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>Rok za dostavu mišljenja je 30 dana od dana primitka zahtjeva.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Zahtjev za davanje mišljenja o provedbi OSPUO sadrži: 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- Nacrt Plana gospodarenja otpadom na području </w:t>
      </w:r>
      <w:r w:rsidR="00443ED4" w:rsidRPr="004C7CB8">
        <w:t xml:space="preserve">općine Šandrovac </w:t>
      </w:r>
      <w:r w:rsidR="00F45ED6" w:rsidRPr="004C7CB8">
        <w:t>za razdoblje od 2018. do 2023</w:t>
      </w:r>
      <w:r w:rsidRPr="004C7CB8">
        <w:t>. godine u digitalnom obliku,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-- Odluku o započinjanju postupka ocjene o potrebi strateške procjene utjecaja na okoliš Nacrta Plana gospodarenja otpadom </w:t>
      </w:r>
      <w:r w:rsidR="00443ED4" w:rsidRPr="004C7CB8">
        <w:t xml:space="preserve">Šandrovac </w:t>
      </w:r>
      <w:r w:rsidR="00F45ED6" w:rsidRPr="004C7CB8">
        <w:t>za razdoblje od 2018. do 2023</w:t>
      </w:r>
      <w:r w:rsidRPr="004C7CB8">
        <w:t>. godine,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>- popunjen obrazac o ocjeni o potrebi strateške procjene utjecaja plana na okoliš.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3. Prije donošenja konačne odluke da je za </w:t>
      </w:r>
      <w:r w:rsidR="00443ED4" w:rsidRPr="004C7CB8">
        <w:t>PGO</w:t>
      </w:r>
      <w:r w:rsidRPr="004C7CB8">
        <w:t xml:space="preserve"> </w:t>
      </w:r>
      <w:r w:rsidR="00443ED4" w:rsidRPr="004C7CB8">
        <w:t xml:space="preserve">Šandrovac </w:t>
      </w:r>
      <w:r w:rsidR="00F45ED6" w:rsidRPr="004C7CB8">
        <w:t>za razdoblje od 2018. do 2023</w:t>
      </w:r>
      <w:r w:rsidRPr="004C7CB8">
        <w:t xml:space="preserve">. godine „potrebno“ ili „nije potrebno“ provesti postupak strateške procjene, treba od županijskog upravnog tijela nadležnog za zaštitu okoliša pribaviti mišljenje o provedenom postupku ocjene, a zahtjevu za tim mišljenjem se prilaže prijedlog konačnog PGO - a  </w:t>
      </w:r>
      <w:r w:rsidR="00443ED4" w:rsidRPr="004C7CB8">
        <w:t xml:space="preserve">Šandrovac </w:t>
      </w:r>
      <w:r w:rsidRPr="004C7CB8">
        <w:t xml:space="preserve">i cjelovita dokumentacija iz postupka ocjene. 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4. Donošenje konačne odluke može biti: 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- Odluka o obvezi provedbe strateške procjene- ako se u postupku OSPUO utvrdi da PGO </w:t>
      </w:r>
      <w:r w:rsidR="00443ED4" w:rsidRPr="004C7CB8">
        <w:t xml:space="preserve">Šandrovac </w:t>
      </w:r>
      <w:r w:rsidRPr="004C7CB8">
        <w:t>ima vjerojatno značajan utjecaj na okoliš ili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- Odluka da nije potrebno provesti stratešku procjenu - ako se u postupku OSPUO utvrdi da PGO </w:t>
      </w:r>
      <w:r w:rsidR="00E526BF" w:rsidRPr="004C7CB8">
        <w:t>Šandrovac</w:t>
      </w:r>
      <w:r w:rsidR="00F45ED6" w:rsidRPr="004C7CB8">
        <w:t xml:space="preserve"> </w:t>
      </w:r>
      <w:r w:rsidRPr="004C7CB8">
        <w:t>nema vjerojatno značajan utjecaj na okoliš.</w:t>
      </w:r>
    </w:p>
    <w:p w:rsidR="009048CD" w:rsidRPr="004C7CB8" w:rsidRDefault="009048CD" w:rsidP="00443ED4">
      <w:pPr>
        <w:spacing w:before="120" w:after="120" w:line="276" w:lineRule="auto"/>
        <w:jc w:val="both"/>
      </w:pPr>
      <w:r w:rsidRPr="004C7CB8">
        <w:t xml:space="preserve">5. O donesenoj Odluci iz točke 4. obavezno se informira javnost sukladno </w:t>
      </w:r>
      <w:r w:rsidRPr="004C7CB8">
        <w:rPr>
          <w:i/>
        </w:rPr>
        <w:t>Zakonu o zaštiti okoliša</w:t>
      </w:r>
      <w:r w:rsidRPr="004C7CB8">
        <w:t xml:space="preserve"> i </w:t>
      </w:r>
      <w:r w:rsidRPr="004C7CB8">
        <w:rPr>
          <w:i/>
        </w:rPr>
        <w:t>Uredbi o informiranju i sudjelovanju javnosti i zainteresirane javnosti u pitanjima zaštite okoliša</w:t>
      </w:r>
      <w:r w:rsidRPr="004C7CB8">
        <w:t xml:space="preserve">. </w:t>
      </w:r>
    </w:p>
    <w:p w:rsidR="009048CD" w:rsidRPr="004C7CB8" w:rsidRDefault="009048CD" w:rsidP="009048CD">
      <w:pPr>
        <w:jc w:val="both"/>
      </w:pPr>
    </w:p>
    <w:p w:rsidR="009048CD" w:rsidRPr="004C7CB8" w:rsidRDefault="009048CD" w:rsidP="009048CD">
      <w:pPr>
        <w:jc w:val="both"/>
      </w:pPr>
      <w:r w:rsidRPr="004C7CB8">
        <w:tab/>
      </w:r>
    </w:p>
    <w:p w:rsidR="00C06952" w:rsidRPr="004C7CB8" w:rsidRDefault="00C06952" w:rsidP="009048CD">
      <w:pPr>
        <w:jc w:val="both"/>
        <w:rPr>
          <w:b/>
        </w:rPr>
      </w:pPr>
    </w:p>
    <w:p w:rsidR="009048CD" w:rsidRPr="004C7CB8" w:rsidRDefault="009048CD" w:rsidP="009048CD">
      <w:pPr>
        <w:jc w:val="both"/>
        <w:rPr>
          <w:b/>
        </w:rPr>
      </w:pPr>
      <w:r w:rsidRPr="004C7CB8">
        <w:rPr>
          <w:b/>
        </w:rPr>
        <w:lastRenderedPageBreak/>
        <w:t xml:space="preserve">PRILOG 2. </w:t>
      </w:r>
    </w:p>
    <w:p w:rsidR="00C06952" w:rsidRPr="004C7CB8" w:rsidRDefault="00C06952" w:rsidP="009048CD">
      <w:pPr>
        <w:jc w:val="both"/>
        <w:rPr>
          <w:b/>
        </w:rPr>
      </w:pPr>
    </w:p>
    <w:p w:rsidR="009048CD" w:rsidRPr="004C7CB8" w:rsidRDefault="009048CD" w:rsidP="00B410C6">
      <w:pPr>
        <w:spacing w:beforeLines="120" w:before="288" w:afterLines="120" w:after="288" w:line="276" w:lineRule="auto"/>
        <w:jc w:val="both"/>
      </w:pPr>
      <w:r w:rsidRPr="004C7CB8">
        <w:t xml:space="preserve">Popis tijela i osoba koja će sudjelovati u postupku ocjene o potrebi strateške procjene utjecaja na okoliš Nacrta Plana gospodarenja otpadom </w:t>
      </w:r>
      <w:r w:rsidR="00443ED4" w:rsidRPr="004C7CB8">
        <w:t xml:space="preserve">Šandrovac </w:t>
      </w:r>
      <w:r w:rsidR="00636291" w:rsidRPr="004C7CB8">
        <w:t>za razdoblje od 2018. do 2023</w:t>
      </w:r>
      <w:r w:rsidRPr="004C7CB8">
        <w:t>. godine:</w:t>
      </w:r>
    </w:p>
    <w:p w:rsidR="00D9760D" w:rsidRPr="00D9760D" w:rsidRDefault="00D9760D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  <w:rPr>
          <w:rFonts w:eastAsia="ArialMT"/>
          <w:color w:val="000000" w:themeColor="text1"/>
          <w:lang w:bidi="ta-IN"/>
        </w:rPr>
      </w:pPr>
      <w:r w:rsidRPr="00D9760D">
        <w:rPr>
          <w:rFonts w:eastAsia="ArialMT"/>
          <w:color w:val="000000" w:themeColor="text1"/>
          <w:lang w:bidi="ta-IN"/>
        </w:rPr>
        <w:t xml:space="preserve">Ministarstvo zaštite okoliša i energetike, Uprava za zaštitu prirode, </w:t>
      </w:r>
      <w:r w:rsidRPr="00D9760D">
        <w:rPr>
          <w:color w:val="000000" w:themeColor="text1"/>
          <w:shd w:val="clear" w:color="auto" w:fill="FFFFFF"/>
        </w:rPr>
        <w:t>Radnička cesta 80, Zagreb</w:t>
      </w:r>
      <w:r>
        <w:rPr>
          <w:color w:val="000000" w:themeColor="text1"/>
          <w:shd w:val="clear" w:color="auto" w:fill="FFFFFF"/>
        </w:rPr>
        <w:t>,</w:t>
      </w:r>
    </w:p>
    <w:p w:rsidR="00E027FC" w:rsidRPr="004C7CB8" w:rsidRDefault="00F65D41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  <w:rPr>
          <w:rFonts w:eastAsia="ArialMT"/>
          <w:lang w:bidi="ta-IN"/>
        </w:rPr>
      </w:pPr>
      <w:r w:rsidRPr="004C7CB8">
        <w:rPr>
          <w:rFonts w:eastAsia="ArialMT"/>
          <w:lang w:bidi="ta-IN"/>
        </w:rPr>
        <w:t>BJELOVARSKO-BILOGORSKA ŽUPANIJA, Upravni odjel za graditeljstvo, promet, prostorno uređenje i komunalnu infrastrukturu, Dr. Ante Starčevića 8, 43 000 Bjelovar</w:t>
      </w:r>
      <w:r w:rsidR="00D9760D">
        <w:rPr>
          <w:rFonts w:eastAsia="ArialMT"/>
          <w:lang w:bidi="ta-IN"/>
        </w:rPr>
        <w:t>,</w:t>
      </w:r>
    </w:p>
    <w:p w:rsidR="00F1059D" w:rsidRPr="00F1059D" w:rsidRDefault="009048CD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  <w:rPr>
          <w:rFonts w:eastAsia="ArialMT"/>
          <w:lang w:bidi="ta-IN"/>
        </w:rPr>
      </w:pPr>
      <w:r w:rsidRPr="004C7CB8">
        <w:rPr>
          <w:rFonts w:eastAsia="ArialMT"/>
          <w:lang w:bidi="ta-IN"/>
        </w:rPr>
        <w:t xml:space="preserve">HRVATSKE ŠUME d.o.o. </w:t>
      </w:r>
      <w:r w:rsidR="00E027FC" w:rsidRPr="004C7CB8">
        <w:t xml:space="preserve">Uprava šuma podružnica Bjelovar, Trg A.G.Matoša 1, </w:t>
      </w:r>
    </w:p>
    <w:p w:rsidR="00E027FC" w:rsidRPr="004C7CB8" w:rsidRDefault="00E027FC" w:rsidP="00F1059D">
      <w:pPr>
        <w:pStyle w:val="Tijeloteksta2"/>
        <w:tabs>
          <w:tab w:val="left" w:pos="0"/>
        </w:tabs>
        <w:spacing w:beforeLines="50" w:before="120" w:afterLines="50" w:line="276" w:lineRule="auto"/>
        <w:ind w:left="720"/>
        <w:jc w:val="both"/>
        <w:rPr>
          <w:rFonts w:eastAsia="ArialMT"/>
          <w:lang w:bidi="ta-IN"/>
        </w:rPr>
      </w:pPr>
      <w:r w:rsidRPr="004C7CB8">
        <w:t>43 000 Bjelovar,</w:t>
      </w:r>
      <w:r w:rsidRPr="004C7CB8">
        <w:rPr>
          <w:rFonts w:eastAsia="ArialMT"/>
          <w:lang w:bidi="ta-IN"/>
        </w:rPr>
        <w:t xml:space="preserve"> </w:t>
      </w:r>
    </w:p>
    <w:p w:rsidR="00E027FC" w:rsidRPr="004C7CB8" w:rsidRDefault="00E027FC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4C7CB8">
        <w:t>HRVATSKE VODE, VGI za mali sliv „Česma-</w:t>
      </w:r>
      <w:proofErr w:type="spellStart"/>
      <w:r w:rsidRPr="004C7CB8">
        <w:t>Glogovnica</w:t>
      </w:r>
      <w:proofErr w:type="spellEnd"/>
      <w:r w:rsidRPr="004C7CB8">
        <w:t>“, V. Lisinskog 4c, 43 000 Bjelovar</w:t>
      </w:r>
      <w:r w:rsidR="009048CD" w:rsidRPr="004C7CB8">
        <w:t xml:space="preserve">, </w:t>
      </w:r>
    </w:p>
    <w:p w:rsidR="00D9760D" w:rsidRPr="00D9760D" w:rsidRDefault="00D9760D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D9760D">
        <w:rPr>
          <w:color w:val="000000"/>
          <w:shd w:val="clear" w:color="auto" w:fill="FFFFFF"/>
        </w:rPr>
        <w:t>ZAVOD ZA JAVNO ZDRAVSTVO BJELOVARSKO-BILOGORSKE ŽUPANIJE,</w:t>
      </w:r>
    </w:p>
    <w:p w:rsidR="00D9760D" w:rsidRDefault="00D9760D" w:rsidP="00F1059D">
      <w:pPr>
        <w:pStyle w:val="Tijeloteksta2"/>
        <w:tabs>
          <w:tab w:val="left" w:pos="0"/>
        </w:tabs>
        <w:spacing w:beforeLines="50" w:before="120" w:afterLines="50" w:line="276" w:lineRule="auto"/>
        <w:ind w:left="720"/>
        <w:jc w:val="both"/>
      </w:pPr>
      <w:r w:rsidRPr="006F3B6E">
        <w:rPr>
          <w:color w:val="000000" w:themeColor="text1"/>
        </w:rPr>
        <w:t>Matice hrvatske 15, 43000 Bjelovar</w:t>
      </w:r>
      <w:r>
        <w:rPr>
          <w:color w:val="000000" w:themeColor="text1"/>
        </w:rPr>
        <w:t>,</w:t>
      </w:r>
    </w:p>
    <w:p w:rsidR="00E027FC" w:rsidRPr="004C7CB8" w:rsidRDefault="00E027FC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4C7CB8">
        <w:t xml:space="preserve">GRAD BJELOVAR,  Upravni odjel za komunalne djelatnosti i </w:t>
      </w:r>
      <w:r w:rsidR="0095266B" w:rsidRPr="004C7CB8">
        <w:t>uređenje prostora, Trg Eugena Kvaternika 2, 43 000 Bjelovar</w:t>
      </w:r>
      <w:r w:rsidR="00D9760D">
        <w:t>,</w:t>
      </w:r>
    </w:p>
    <w:p w:rsidR="00E526BF" w:rsidRPr="004C7CB8" w:rsidRDefault="00E526BF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4C7CB8">
        <w:t>Grad Đurđevac, Stjepana Radića 1, 48 350 Đurđevac</w:t>
      </w:r>
      <w:r w:rsidR="00D9760D">
        <w:t>,</w:t>
      </w:r>
      <w:r w:rsidRPr="004C7CB8">
        <w:t xml:space="preserve"> </w:t>
      </w:r>
    </w:p>
    <w:p w:rsidR="0095266B" w:rsidRPr="004C7CB8" w:rsidRDefault="0095266B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4C7CB8">
        <w:t xml:space="preserve">Općina </w:t>
      </w:r>
      <w:r w:rsidR="00E526BF" w:rsidRPr="004C7CB8">
        <w:t>Veliko Trojstvo</w:t>
      </w:r>
      <w:r w:rsidRPr="004C7CB8">
        <w:t xml:space="preserve">,  </w:t>
      </w:r>
      <w:r w:rsidR="00E526BF" w:rsidRPr="004C7CB8">
        <w:t>Braće Radić 28, 43 226 Veliko Trojstvo</w:t>
      </w:r>
      <w:r w:rsidR="00D9760D">
        <w:t>,</w:t>
      </w:r>
    </w:p>
    <w:p w:rsidR="0095266B" w:rsidRPr="004C7CB8" w:rsidRDefault="0095266B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4C7CB8">
        <w:t xml:space="preserve">Općina </w:t>
      </w:r>
      <w:r w:rsidR="00F45ED6" w:rsidRPr="004C7CB8">
        <w:t>Severin</w:t>
      </w:r>
      <w:r w:rsidRPr="004C7CB8">
        <w:t xml:space="preserve">,  </w:t>
      </w:r>
      <w:r w:rsidR="00F45ED6" w:rsidRPr="004C7CB8">
        <w:t xml:space="preserve">Severin 137, </w:t>
      </w:r>
      <w:r w:rsidR="00E526BF" w:rsidRPr="004C7CB8">
        <w:t>43 274</w:t>
      </w:r>
      <w:r w:rsidR="00D9760D">
        <w:t xml:space="preserve"> </w:t>
      </w:r>
      <w:r w:rsidR="00F45ED6" w:rsidRPr="004C7CB8">
        <w:t>Severin</w:t>
      </w:r>
      <w:r w:rsidR="00D9760D">
        <w:t>,</w:t>
      </w:r>
    </w:p>
    <w:p w:rsidR="0095266B" w:rsidRPr="004C7CB8" w:rsidRDefault="0095266B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4C7CB8">
        <w:t xml:space="preserve">Općina </w:t>
      </w:r>
      <w:r w:rsidR="00E526BF" w:rsidRPr="004C7CB8">
        <w:t xml:space="preserve">Nova </w:t>
      </w:r>
      <w:proofErr w:type="spellStart"/>
      <w:r w:rsidR="00E526BF" w:rsidRPr="004C7CB8">
        <w:t>Rača</w:t>
      </w:r>
      <w:proofErr w:type="spellEnd"/>
      <w:r w:rsidRPr="004C7CB8">
        <w:t xml:space="preserve">, </w:t>
      </w:r>
      <w:r w:rsidR="00E526BF" w:rsidRPr="004C7CB8">
        <w:t>Trg Stjepana Radića 56</w:t>
      </w:r>
      <w:r w:rsidR="00F45ED6" w:rsidRPr="004C7CB8">
        <w:t xml:space="preserve">, </w:t>
      </w:r>
      <w:r w:rsidR="00E526BF" w:rsidRPr="004C7CB8">
        <w:t xml:space="preserve">43 272 Nova </w:t>
      </w:r>
      <w:proofErr w:type="spellStart"/>
      <w:r w:rsidR="00E526BF" w:rsidRPr="004C7CB8">
        <w:t>Rača</w:t>
      </w:r>
      <w:proofErr w:type="spellEnd"/>
      <w:r w:rsidR="00D9760D">
        <w:t>,</w:t>
      </w:r>
    </w:p>
    <w:p w:rsidR="00E027FC" w:rsidRDefault="00E526BF" w:rsidP="00F1059D">
      <w:pPr>
        <w:pStyle w:val="Tijeloteksta2"/>
        <w:numPr>
          <w:ilvl w:val="0"/>
          <w:numId w:val="7"/>
        </w:numPr>
        <w:tabs>
          <w:tab w:val="left" w:pos="0"/>
        </w:tabs>
        <w:spacing w:beforeLines="50" w:before="120" w:afterLines="50" w:line="276" w:lineRule="auto"/>
        <w:jc w:val="both"/>
      </w:pPr>
      <w:r w:rsidRPr="004C7CB8">
        <w:t>Općina Velika Pisanica, Trg hrvatskih branitelja 3, 43 271 Velika Pisanica</w:t>
      </w:r>
      <w:r w:rsidR="00D9760D">
        <w:t>,</w:t>
      </w:r>
    </w:p>
    <w:p w:rsidR="00695666" w:rsidRDefault="00695666" w:rsidP="00F1059D">
      <w:pPr>
        <w:pStyle w:val="arial"/>
        <w:numPr>
          <w:ilvl w:val="0"/>
          <w:numId w:val="7"/>
        </w:numPr>
        <w:tabs>
          <w:tab w:val="left" w:pos="0"/>
        </w:tabs>
        <w:spacing w:beforeLines="50" w:before="120" w:afterLines="5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5666">
        <w:rPr>
          <w:rFonts w:ascii="Times New Roman" w:hAnsi="Times New Roman" w:cs="Times New Roman"/>
          <w:color w:val="000000"/>
          <w:sz w:val="24"/>
          <w:szCs w:val="24"/>
        </w:rPr>
        <w:t xml:space="preserve">OPĆINA KLOŠTAR PODRAVSKI, </w:t>
      </w:r>
      <w:r w:rsidRPr="0069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proofErr w:type="spellStart"/>
      <w:r w:rsidRPr="0069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Kralja</w:t>
      </w:r>
      <w:proofErr w:type="spellEnd"/>
      <w:r w:rsidRPr="0069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Tomislava</w:t>
      </w:r>
      <w:proofErr w:type="spellEnd"/>
      <w:r w:rsidRPr="006956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2, 48362 Kloštar Podravski</w:t>
      </w:r>
    </w:p>
    <w:p w:rsidR="00B22289" w:rsidRPr="00D9760D" w:rsidRDefault="009048CD" w:rsidP="00F1059D">
      <w:pPr>
        <w:pStyle w:val="arial"/>
        <w:numPr>
          <w:ilvl w:val="0"/>
          <w:numId w:val="7"/>
        </w:numPr>
        <w:tabs>
          <w:tab w:val="left" w:pos="0"/>
        </w:tabs>
        <w:spacing w:beforeLines="50" w:before="120" w:afterLines="50" w:after="120" w:line="276" w:lineRule="auto"/>
        <w:jc w:val="both"/>
        <w:rPr>
          <w:rFonts w:ascii="Times New Roman" w:eastAsia="ArialMT" w:hAnsi="Times New Roman" w:cs="Times New Roman"/>
          <w:sz w:val="24"/>
          <w:szCs w:val="24"/>
          <w:lang w:bidi="ta-IN"/>
        </w:rPr>
      </w:pPr>
      <w:proofErr w:type="spellStart"/>
      <w:r w:rsidRPr="00D9760D">
        <w:rPr>
          <w:rFonts w:ascii="Times New Roman" w:hAnsi="Times New Roman" w:cs="Times New Roman"/>
          <w:sz w:val="24"/>
          <w:szCs w:val="24"/>
        </w:rPr>
        <w:t>Pismohrana</w:t>
      </w:r>
      <w:proofErr w:type="spellEnd"/>
      <w:r w:rsidRPr="00D97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760D">
        <w:rPr>
          <w:rFonts w:ascii="Times New Roman" w:hAnsi="Times New Roman" w:cs="Times New Roman"/>
          <w:sz w:val="24"/>
          <w:szCs w:val="24"/>
        </w:rPr>
        <w:t>ovdje</w:t>
      </w:r>
      <w:proofErr w:type="spellEnd"/>
      <w:r w:rsidRPr="00D9760D">
        <w:rPr>
          <w:rFonts w:ascii="Times New Roman" w:hAnsi="Times New Roman" w:cs="Times New Roman"/>
          <w:sz w:val="24"/>
          <w:szCs w:val="24"/>
        </w:rPr>
        <w:t>.</w:t>
      </w:r>
    </w:p>
    <w:p w:rsidR="00695666" w:rsidRPr="004C7CB8" w:rsidRDefault="00695666" w:rsidP="00695666">
      <w:pPr>
        <w:pStyle w:val="Tijeloteksta2"/>
        <w:tabs>
          <w:tab w:val="left" w:pos="0"/>
        </w:tabs>
        <w:spacing w:beforeLines="50" w:before="120" w:afterLines="50" w:line="276" w:lineRule="auto"/>
        <w:rPr>
          <w:rFonts w:eastAsia="ArialMT"/>
          <w:lang w:bidi="ta-IN"/>
        </w:rPr>
      </w:pPr>
    </w:p>
    <w:sectPr w:rsidR="00695666" w:rsidRPr="004C7CB8" w:rsidSect="00B2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75CE"/>
    <w:multiLevelType w:val="hybridMultilevel"/>
    <w:tmpl w:val="318E675C"/>
    <w:lvl w:ilvl="0" w:tplc="C91CDD10">
      <w:start w:val="43"/>
      <w:numFmt w:val="bullet"/>
      <w:pStyle w:val="arial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3C181A09"/>
    <w:multiLevelType w:val="hybridMultilevel"/>
    <w:tmpl w:val="0EF4E8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C589B"/>
    <w:multiLevelType w:val="multilevel"/>
    <w:tmpl w:val="138A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053F2"/>
    <w:multiLevelType w:val="hybridMultilevel"/>
    <w:tmpl w:val="531E1D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A9B167C"/>
    <w:multiLevelType w:val="hybridMultilevel"/>
    <w:tmpl w:val="AD760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0A77A9"/>
    <w:multiLevelType w:val="hybridMultilevel"/>
    <w:tmpl w:val="845AD568"/>
    <w:lvl w:ilvl="0" w:tplc="AA0652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94336"/>
    <w:multiLevelType w:val="hybridMultilevel"/>
    <w:tmpl w:val="BEFEB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53"/>
    <w:rsid w:val="00055AE5"/>
    <w:rsid w:val="00057E02"/>
    <w:rsid w:val="00110993"/>
    <w:rsid w:val="0018722A"/>
    <w:rsid w:val="00217905"/>
    <w:rsid w:val="00231B5B"/>
    <w:rsid w:val="00236F96"/>
    <w:rsid w:val="002C4C0F"/>
    <w:rsid w:val="00302904"/>
    <w:rsid w:val="00436A6F"/>
    <w:rsid w:val="00443ED4"/>
    <w:rsid w:val="004A4175"/>
    <w:rsid w:val="004A77F3"/>
    <w:rsid w:val="004C7CB8"/>
    <w:rsid w:val="00595367"/>
    <w:rsid w:val="005E2D99"/>
    <w:rsid w:val="006306E5"/>
    <w:rsid w:val="00636291"/>
    <w:rsid w:val="0066764C"/>
    <w:rsid w:val="00695666"/>
    <w:rsid w:val="006F3B6E"/>
    <w:rsid w:val="007406DA"/>
    <w:rsid w:val="0078687F"/>
    <w:rsid w:val="007B6C59"/>
    <w:rsid w:val="00804045"/>
    <w:rsid w:val="00837054"/>
    <w:rsid w:val="00872A3D"/>
    <w:rsid w:val="008C6030"/>
    <w:rsid w:val="008E796E"/>
    <w:rsid w:val="009048CD"/>
    <w:rsid w:val="00930053"/>
    <w:rsid w:val="0095266B"/>
    <w:rsid w:val="00A2292A"/>
    <w:rsid w:val="00AA6DE0"/>
    <w:rsid w:val="00AB050B"/>
    <w:rsid w:val="00AF4F98"/>
    <w:rsid w:val="00B22289"/>
    <w:rsid w:val="00B410C6"/>
    <w:rsid w:val="00B736AF"/>
    <w:rsid w:val="00B76B45"/>
    <w:rsid w:val="00BC16C3"/>
    <w:rsid w:val="00C06952"/>
    <w:rsid w:val="00CA76B6"/>
    <w:rsid w:val="00CC79B0"/>
    <w:rsid w:val="00CE3543"/>
    <w:rsid w:val="00D9760D"/>
    <w:rsid w:val="00DA2658"/>
    <w:rsid w:val="00DB72E1"/>
    <w:rsid w:val="00DF038A"/>
    <w:rsid w:val="00DF53FA"/>
    <w:rsid w:val="00E027FC"/>
    <w:rsid w:val="00E44FC6"/>
    <w:rsid w:val="00E526BF"/>
    <w:rsid w:val="00EA4A04"/>
    <w:rsid w:val="00ED72CD"/>
    <w:rsid w:val="00F003A9"/>
    <w:rsid w:val="00F1059D"/>
    <w:rsid w:val="00F14A9E"/>
    <w:rsid w:val="00F45ED6"/>
    <w:rsid w:val="00F6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9048C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048CD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048CD"/>
    <w:pPr>
      <w:ind w:left="720"/>
      <w:contextualSpacing/>
    </w:pPr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7C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CB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arial">
    <w:name w:val="arial"/>
    <w:basedOn w:val="Normal"/>
    <w:link w:val="arialChar"/>
    <w:qFormat/>
    <w:rsid w:val="00695666"/>
    <w:pPr>
      <w:numPr>
        <w:numId w:val="5"/>
      </w:numPr>
      <w:ind w:left="142" w:hanging="142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arialChar">
    <w:name w:val="arial Char"/>
    <w:link w:val="arial"/>
    <w:rsid w:val="00695666"/>
    <w:rPr>
      <w:rFonts w:ascii="Arial" w:eastAsia="Calibri" w:hAnsi="Arial" w:cs="Arial"/>
      <w:sz w:val="20"/>
      <w:szCs w:val="20"/>
      <w:lang w:val="en-GB" w:eastAsia="hr-HR"/>
    </w:rPr>
  </w:style>
  <w:style w:type="character" w:customStyle="1" w:styleId="street-address">
    <w:name w:val="street-address"/>
    <w:rsid w:val="00695666"/>
  </w:style>
  <w:style w:type="character" w:customStyle="1" w:styleId="postal-code">
    <w:name w:val="postal-code"/>
    <w:rsid w:val="00695666"/>
  </w:style>
  <w:style w:type="character" w:customStyle="1" w:styleId="apple-converted-space">
    <w:name w:val="apple-converted-space"/>
    <w:rsid w:val="00695666"/>
  </w:style>
  <w:style w:type="character" w:customStyle="1" w:styleId="locality">
    <w:name w:val="locality"/>
    <w:rsid w:val="0069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9048C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048CD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048CD"/>
    <w:pPr>
      <w:ind w:left="720"/>
      <w:contextualSpacing/>
    </w:pPr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7C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7CB8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arial">
    <w:name w:val="arial"/>
    <w:basedOn w:val="Normal"/>
    <w:link w:val="arialChar"/>
    <w:qFormat/>
    <w:rsid w:val="00695666"/>
    <w:pPr>
      <w:numPr>
        <w:numId w:val="5"/>
      </w:numPr>
      <w:ind w:left="142" w:hanging="142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arialChar">
    <w:name w:val="arial Char"/>
    <w:link w:val="arial"/>
    <w:rsid w:val="00695666"/>
    <w:rPr>
      <w:rFonts w:ascii="Arial" w:eastAsia="Calibri" w:hAnsi="Arial" w:cs="Arial"/>
      <w:sz w:val="20"/>
      <w:szCs w:val="20"/>
      <w:lang w:val="en-GB" w:eastAsia="hr-HR"/>
    </w:rPr>
  </w:style>
  <w:style w:type="character" w:customStyle="1" w:styleId="street-address">
    <w:name w:val="street-address"/>
    <w:rsid w:val="00695666"/>
  </w:style>
  <w:style w:type="character" w:customStyle="1" w:styleId="postal-code">
    <w:name w:val="postal-code"/>
    <w:rsid w:val="00695666"/>
  </w:style>
  <w:style w:type="character" w:customStyle="1" w:styleId="apple-converted-space">
    <w:name w:val="apple-converted-space"/>
    <w:rsid w:val="00695666"/>
  </w:style>
  <w:style w:type="character" w:customStyle="1" w:styleId="locality">
    <w:name w:val="locality"/>
    <w:rsid w:val="0069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valentinacarek</dc:creator>
  <cp:lastModifiedBy>Korisnik</cp:lastModifiedBy>
  <cp:revision>19</cp:revision>
  <cp:lastPrinted>2018-03-12T06:40:00Z</cp:lastPrinted>
  <dcterms:created xsi:type="dcterms:W3CDTF">2018-03-01T06:36:00Z</dcterms:created>
  <dcterms:modified xsi:type="dcterms:W3CDTF">2018-03-12T06:47:00Z</dcterms:modified>
</cp:coreProperties>
</file>