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8"/>
        </w:tabs>
        <w:ind w:left="-57" w:right="-57" w:hanging="0"/>
        <w:rPr/>
      </w:pPr>
      <w:r>
        <w:rPr/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</w:rPr>
        <w:drawing>
          <wp:inline distT="0" distB="0" distL="0" distR="0">
            <wp:extent cx="752475" cy="952500"/>
            <wp:effectExtent l="0" t="0" r="0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BJELOVARSKO-BILOGORSKA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        </w:t>
      </w:r>
      <w:r>
        <w:rPr>
          <w:b/>
        </w:rPr>
        <w:t>Ž U P A N I J 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</w:t>
      </w:r>
      <w:r>
        <w:rPr>
          <w:b/>
        </w:rPr>
        <w:t>OPĆINA ŠANDROVAC</w:t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b/>
        </w:rPr>
        <w:t xml:space="preserve">       </w:t>
      </w:r>
      <w:r>
        <w:rPr>
          <w:rStyle w:val="Zadanifontodlomka"/>
          <w:b/>
        </w:rPr>
        <w:t>OPĆINSKI NAČELNIK</w:t>
      </w:r>
    </w:p>
    <w:p>
      <w:pPr>
        <w:pStyle w:val="Normal1"/>
        <w:tabs>
          <w:tab w:val="clear" w:pos="708"/>
        </w:tabs>
        <w:ind w:left="-57" w:right="-57" w:hanging="0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320-01/19-03/4</w:t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</w:rPr>
        <w:t>URBROJ: 2123-05-03-19-1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>U Šandrovcu, 04.10.2019.</w:t>
      </w:r>
    </w:p>
    <w:p>
      <w:pPr>
        <w:pStyle w:val="Normal1"/>
        <w:spacing w:lineRule="auto" w:line="360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1"/>
        <w:tabs>
          <w:tab w:val="clear" w:pos="708"/>
        </w:tabs>
        <w:ind w:left="-57" w:right="-57" w:hanging="0"/>
        <w:jc w:val="both"/>
        <w:rPr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za dodjelu potpore za umjetno osjemenjivanje goveda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2019. godinu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goveda 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>Cilj potpore za</w:t>
      </w:r>
      <w:r>
        <w:rPr>
          <w:rStyle w:val="Zadanifontodlomka"/>
          <w:rFonts w:eastAsia="Calibri"/>
          <w:color w:val="000000"/>
          <w:lang w:eastAsia="en-US"/>
        </w:rPr>
        <w:t xml:space="preserve"> umjetno osjemenjivanje goveda je razvoj stočarske proizvodnje, obnova stočnog fonda te povećanje broja i  </w:t>
      </w:r>
      <w:r>
        <w:rPr>
          <w:rStyle w:val="Zadanifontodlomka"/>
          <w:color w:val="000000"/>
        </w:rPr>
        <w:t>konkurentnost obiteljskih gospodarstava.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2019. godinu.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>
      <w:pPr>
        <w:pStyle w:val="Odlomakpopisa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umjetno osjemenjivanje goveda na području Općine Šandrovac </w:t>
      </w:r>
      <w:r>
        <w:rPr>
          <w:rStyle w:val="Zadanifontodlomka"/>
          <w:color w:val="000000"/>
        </w:rPr>
        <w:t xml:space="preserve">odobriti će se korisniku za subvencioniranje troškova umjetnog osjemenjivanja goveda. 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>Cilj potpore za</w:t>
      </w:r>
      <w:r>
        <w:rPr>
          <w:rStyle w:val="Zadanifontodlomka"/>
          <w:rFonts w:eastAsia="Calibri"/>
          <w:color w:val="000000"/>
          <w:lang w:eastAsia="en-US"/>
        </w:rPr>
        <w:t xml:space="preserve"> umjetno osjemenjivanje goveda je razvoj stočarske proizvodnje, obnova stočnog fonda te povećanje broja i  </w:t>
      </w:r>
      <w:r>
        <w:rPr>
          <w:rStyle w:val="Zadanifontodlomka"/>
          <w:color w:val="000000"/>
        </w:rPr>
        <w:t>konkurentnost obiteljskih gospodarstava.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Potpora za podmirenje troškova umjetnog osjemenjivanja goveda iznosi do 200,00 kn po grlu, a maksimalni iznos potpore iznosi do 2.000,00 kuna za do 10 grla po poljoprivrednom gospodarstvu u jednoj kalendarskoj godini. 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/>
      </w:pPr>
      <w:r>
        <w:rPr/>
        <w:t>Prihvatljivi troškovi su svi troškovi koji su nastali nakon 1. siječnja 2019. godine.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>Potpore se ne dodjeljuju za troškove PDV-a i drugih poreza, carina ili sličnih troškova.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III. UVJETI ZA PODNOŠENJE ZAHTJEVA ZA POTPORU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 xml:space="preserve">Uvjeti za dodjelu potpore </w:t>
      </w:r>
      <w:r>
        <w:rPr>
          <w:rStyle w:val="Zadanifontodlomka"/>
          <w:rFonts w:eastAsia="Calibri"/>
          <w:color w:val="000000"/>
          <w:lang w:eastAsia="en-US"/>
        </w:rPr>
        <w:t>za umjetno osjemenjivanje goveda na području Općine Šandrovac</w:t>
      </w:r>
      <w:r>
        <w:rPr>
          <w:rStyle w:val="Zadanifontodlomka"/>
          <w:color w:val="000000"/>
        </w:rPr>
        <w:t xml:space="preserve"> su sljedeći: 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pacing w:lineRule="auto" w:line="276"/>
        <w:ind w:left="1440" w:hanging="360"/>
        <w:jc w:val="both"/>
        <w:rPr>
          <w:color w:val="000000"/>
        </w:rPr>
      </w:pPr>
      <w:r>
        <w:rPr>
          <w:color w:val="000000"/>
        </w:rPr>
        <w:t>korisnici mogu biti poljoprivredna gospodarstva (OPG, obrti, trgovačka društva, zadruge registrirane za obavljanje poljoprivredne djelatnosti) upisana u Upisnik poljoprivrednih gospodarstava,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pacing w:lineRule="auto" w:line="276"/>
        <w:ind w:left="1440" w:hanging="360"/>
        <w:jc w:val="both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pacing w:lineRule="auto" w:line="276"/>
        <w:ind w:left="1440" w:hanging="360"/>
        <w:jc w:val="both"/>
        <w:rPr>
          <w:color w:val="000000"/>
        </w:rPr>
      </w:pPr>
      <w:r>
        <w:rPr>
          <w:color w:val="000000"/>
        </w:rPr>
        <w:t>osjemenjivanje treba biti izvršeno u tekućoj godini, a prije podnošenja zahtjeva za isplatu,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pacing w:lineRule="auto" w:line="276"/>
        <w:ind w:left="1440" w:hanging="360"/>
        <w:jc w:val="both"/>
        <w:rPr>
          <w:color w:val="000000"/>
        </w:rPr>
      </w:pPr>
      <w:r>
        <w:rPr>
          <w:color w:val="000000"/>
        </w:rPr>
        <w:t>potpora će se isplaćivati po ispostavljenom originalnom računu od strane veterinarske stanice koja ima sklopljen ugovor sa Općinom Šandrovac, u pravilu jednom mjesečno, sa priloženom specifikacijom obavljenih usluga po pojedinom korisniku te sa pripadajućim brojevima usluga i datumima osjemenjivanja.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>
      <w:pPr>
        <w:pStyle w:val="Normal1"/>
        <w:jc w:val="both"/>
        <w:rPr/>
      </w:pPr>
      <w:r>
        <w:rPr/>
        <w:t>Potpore se odobravaju temeljem podnesenih zahtjeva za dodjelu potpora na propisanim obrascima.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Podnositelj zahtjeva, uz obrazac zahtjeva za odobravanje potpore (Prilog 1) mora priložiti sljedeću dokumentaciju:</w:t>
      </w:r>
    </w:p>
    <w:p>
      <w:pPr>
        <w:pStyle w:val="Normal1"/>
        <w:spacing w:lineRule="auto" w:line="276"/>
        <w:jc w:val="both"/>
        <w:rPr/>
      </w:pPr>
      <w:r>
        <w:rPr/>
        <w:t xml:space="preserve">1.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2.originalni račun izdan od strane nadležne veterinarske stanice, sa priloženom specifikacijom obavljenih usluga po pojedinom korisniku te sa pripadajućim brojevima usluga i datumima osjemenjivanja,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6. preslika osobne iskaznice nositelja poljoprivrednog gospodarstva (OPG, obrti, trgovačka društva, zadruge registrirane za obavljanje poljoprivredne djelatnosti) upisana u Upisnik poljoprivrednih gospodarstava,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>
      <w:pPr>
        <w:pStyle w:val="Normal1"/>
        <w:suppressAutoHyphens w:val="false"/>
        <w:spacing w:lineRule="auto" w:line="254" w:before="0" w:after="160"/>
        <w:jc w:val="both"/>
        <w:textAlignment w:val="auto"/>
        <w:rPr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 potpora male vrijednosti u sektoru poljoprivrede iz drugih izvora.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V. NAČIN, MJESTO I ROK PODNOŠENJA ZAHTJEVA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goveda na području Općine Šandrovac </w:t>
      </w:r>
      <w:r>
        <w:rPr>
          <w:rStyle w:val="Zadanifontodlomka"/>
          <w:color w:val="000000"/>
        </w:rPr>
        <w:t>dostavljaju se unutar roka za dostavu zahtjeva odnosno od 4. listopada do 13. prosinca 2019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utroška sredstava planiranih u proračunu Općine Šandrovac za 2019. godinu. </w:t>
      </w:r>
    </w:p>
    <w:p>
      <w:pPr>
        <w:pStyle w:val="Normal1"/>
        <w:spacing w:lineRule="auto" w:line="276" w:before="0" w:after="20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umjetno osjemenjivanje goveda na području Općine Šandrovac </w:t>
      </w:r>
      <w:r>
        <w:rPr>
          <w:rStyle w:val="Zadanifontodlomka"/>
          <w:color w:val="000000"/>
        </w:rPr>
        <w:t xml:space="preserve">dostavljaju se na adresu Općine Šandrovac, Bjelovarska 6, 43227 Šandrovac, osobno i neposredno ili preporučeno poštom u zatvorenoj omotnici. Na omotnici treba naznačiti „POTPORE OSJEMENJIVANJE GOVEDA“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VI. OSTALE INFORMACIJE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>
      <w:pPr>
        <w:pStyle w:val="Normal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jc w:val="both"/>
        <w:rPr/>
      </w:pPr>
      <w:r>
        <w:rPr>
          <w:rStyle w:val="Zadanifontodlomka"/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procijeniti vjerodostojnost podnijete dokumentacije i dokaza, te u slučaju sumnje u vjerodostojnost ovlašten je odbaciti zahtjev odnosno naložiti obvezu povrata potpore.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Ukoliko nakon izvršene 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rPr/>
        <w:t xml:space="preserve"> utvrdi nepravilnosti u postupku korištenja potpore, Općinski načelnik Općine Šandrovac utvrditi će obvezu povrata dobivenih sredstava potpore. 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/>
      </w:pPr>
      <w:r>
        <w:rPr/>
        <w:t>Sve informacije mogu se dobiti u Jedinstvenom upravnom odjelu Općine Šandrovac osobno ili na broj telefona 043/874128.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Općinski načelnik Općine Šandrovac </w:t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                     </w:t>
      </w:r>
      <w:r>
        <w:rPr/>
        <w:t xml:space="preserve">Josip Dekalić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slov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Naslov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HR" w:eastAsia="en-US" w:bidi="ar-SA"/>
    </w:rPr>
  </w:style>
  <w:style w:type="character" w:styleId="Zadanifontodlomka">
    <w:name w:val="Zadani font odlomka"/>
    <w:qFormat/>
    <w:rPr/>
  </w:style>
  <w:style w:type="character" w:styleId="Naslov1Char">
    <w:name w:val="Naslov 1 Char"/>
    <w:basedOn w:val="Zadanifontodlomka"/>
    <w:qFormat/>
    <w:rPr>
      <w:rFonts w:cs="Arial"/>
      <w:b/>
      <w:bCs/>
      <w:caps/>
      <w:kern w:val="2"/>
      <w:sz w:val="24"/>
      <w:szCs w:val="24"/>
    </w:rPr>
  </w:style>
  <w:style w:type="character" w:styleId="Naslov2Char">
    <w:name w:val="Naslov 2 Char"/>
    <w:basedOn w:val="Zadanifontodlomka"/>
    <w:qFormat/>
    <w:rPr>
      <w:rFonts w:ascii="Arial" w:hAnsi="Arial" w:cs="Arial"/>
      <w:b/>
      <w:bCs/>
      <w:i/>
      <w:iCs/>
      <w:sz w:val="28"/>
      <w:szCs w:val="28"/>
    </w:rPr>
  </w:style>
  <w:style w:type="character" w:styleId="BezproredaChar">
    <w:name w:val="Bez proreda Char"/>
    <w:basedOn w:val="Zadanifontodlomka"/>
    <w:qFormat/>
    <w:rPr>
      <w:rFonts w:ascii="Calibri" w:hAnsi="Calibri" w:eastAsia="Times New Roman" w:cs="Times New Roman"/>
      <w:sz w:val="22"/>
      <w:szCs w:val="22"/>
      <w:lang w:val="en-US"/>
    </w:rPr>
  </w:style>
  <w:style w:type="character" w:styleId="TekstbaloniaChar">
    <w:name w:val="Tekst balončića Char"/>
    <w:basedOn w:val="Zadanifontodlomka"/>
    <w:qFormat/>
    <w:rPr>
      <w:rFonts w:ascii="Tahoma" w:hAnsi="Tahoma" w:cs="Tahoma"/>
      <w:sz w:val="16"/>
      <w:szCs w:val="16"/>
      <w:lang w:eastAsia="hr-HR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paragraph" w:styleId="Naslov1">
    <w:name w:val="Naslov 1"/>
    <w:basedOn w:val="Normal1"/>
    <w:next w:val="Normal1"/>
    <w:qFormat/>
    <w:pPr>
      <w:keepNext w:val="true"/>
      <w:numPr>
        <w:ilvl w:val="0"/>
        <w:numId w:val="1"/>
      </w:numPr>
      <w:tabs>
        <w:tab w:val="clear" w:pos="708"/>
      </w:tabs>
      <w:suppressAutoHyphens w:val="true"/>
      <w:spacing w:before="240" w:after="60"/>
      <w:ind w:left="432" w:hanging="432"/>
      <w:outlineLvl w:val="0"/>
    </w:pPr>
    <w:rPr>
      <w:rFonts w:cs="Arial"/>
      <w:b/>
      <w:bCs/>
      <w:caps/>
      <w:kern w:val="2"/>
    </w:rPr>
  </w:style>
  <w:style w:type="paragraph" w:styleId="Naslov2">
    <w:name w:val="Naslov 2"/>
    <w:basedOn w:val="Normal1"/>
    <w:next w:val="Normal1"/>
    <w:qFormat/>
    <w:pPr>
      <w:keepNext w:val="true"/>
      <w:numPr>
        <w:ilvl w:val="1"/>
        <w:numId w:val="1"/>
      </w:numPr>
      <w:tabs>
        <w:tab w:val="clear" w:pos="708"/>
        <w:tab w:val="left" w:pos="576" w:leader="none"/>
      </w:tabs>
      <w:suppressAutoHyphens w:val="true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hr-HR" w:val="hr-HR" w:bidi="ar-SA"/>
    </w:rPr>
  </w:style>
  <w:style w:type="paragraph" w:styleId="Opisslike">
    <w:name w:val="Opis slike"/>
    <w:basedOn w:val="Normal1"/>
    <w:next w:val="Normal1"/>
    <w:qFormat/>
    <w:pPr>
      <w:suppressAutoHyphens w:val="true"/>
      <w:spacing w:before="0" w:after="120"/>
    </w:pPr>
    <w:rPr>
      <w:rFonts w:ascii="Calibri" w:hAnsi="Calibri" w:eastAsia="Calibri" w:cs="Calibri"/>
      <w:b/>
      <w:bCs/>
      <w:color w:val="808080"/>
      <w:sz w:val="18"/>
      <w:szCs w:val="18"/>
    </w:rPr>
  </w:style>
  <w:style w:type="paragraph" w:styleId="Bezproreda">
    <w:name w:val="Bez prored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Odlomakpopisa">
    <w:name w:val="Odlomak popisa"/>
    <w:basedOn w:val="Normal1"/>
    <w:qFormat/>
    <w:pPr>
      <w:tabs>
        <w:tab w:val="clear" w:pos="708"/>
      </w:tabs>
      <w:suppressAutoHyphens w:val="true"/>
      <w:ind w:left="720" w:hanging="0"/>
    </w:pPr>
    <w:rPr/>
  </w:style>
  <w:style w:type="paragraph" w:styleId="Tekstbalonia">
    <w:name w:val="Tekst balončića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LibreOffice/6.3.1.2$Windows_X86_64 LibreOffice_project/b79626edf0065ac373bd1df5c28bd630b4424273</Application>
  <Pages>4</Pages>
  <Words>1123</Words>
  <CharactersWithSpaces>7514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2018-11-05T12:26:00Z</dcterms:created>
  <dc:creator>Korisnik</dc:creator>
  <dc:description/>
  <dc:language>hr-HR</dc:language>
  <cp:lastModifiedBy>Korisnik</cp:lastModifiedBy>
  <dcterms:modified xsi:type="dcterms:W3CDTF">2019-10-04T10:34:00Z</dcterms:modified>
  <cp:revision>10</cp:revision>
  <dc:subject/>
  <dc:title/>
</cp:coreProperties>
</file>